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B024" w14:textId="77777777" w:rsidR="007D0154" w:rsidRPr="007D0154" w:rsidRDefault="007D0154" w:rsidP="007D0154">
      <w:pPr>
        <w:rPr>
          <w:rFonts w:ascii="Tahoma" w:eastAsia="Times New Roman" w:hAnsi="Tahoma" w:cs="Tahoma"/>
          <w:i/>
          <w:sz w:val="20"/>
          <w:szCs w:val="20"/>
          <w:u w:val="single"/>
        </w:rPr>
      </w:pPr>
    </w:p>
    <w:p w14:paraId="24901A50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</w:p>
    <w:p w14:paraId="474E429C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  <w:r w:rsidRPr="007D0154"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  <w:t>ПРИЛОГ- ОКВИРНИ МОДЕЛ – ПРИМЕР ДОКУМЕНТА</w:t>
      </w:r>
    </w:p>
    <w:p w14:paraId="205E2275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</w:pPr>
    </w:p>
    <w:p w14:paraId="565C966E" w14:textId="77777777" w:rsidR="007D0154" w:rsidRPr="007D0154" w:rsidRDefault="007D0154" w:rsidP="007D0154">
      <w:pPr>
        <w:jc w:val="right"/>
        <w:rPr>
          <w:rFonts w:ascii="Tahoma" w:eastAsia="Times New Roman" w:hAnsi="Tahoma" w:cs="Tahoma"/>
          <w:sz w:val="20"/>
          <w:szCs w:val="20"/>
          <w:lang w:val="en-US"/>
        </w:rPr>
      </w:pPr>
    </w:p>
    <w:p w14:paraId="3903CF15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основу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члана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16[с7]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Закона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о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систему</w:t>
      </w:r>
      <w:proofErr w:type="spellEnd"/>
      <w:r w:rsidRPr="007D0154">
        <w:rPr>
          <w:rFonts w:ascii="Tahoma" w:eastAsia="Times New Roman" w:hAnsi="Tahoma" w:cs="Tahoma"/>
          <w:sz w:val="20"/>
          <w:szCs w:val="20"/>
        </w:rPr>
        <w:t xml:space="preserve"> (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"</w:t>
      </w:r>
      <w:proofErr w:type="spellStart"/>
      <w:r w:rsidRPr="007D0154">
        <w:rPr>
          <w:rFonts w:ascii="Tahoma" w:eastAsia="Times New Roman" w:hAnsi="Tahoma" w:cs="Tahoma"/>
          <w:sz w:val="20"/>
          <w:szCs w:val="20"/>
        </w:rPr>
        <w:t>Сл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r w:rsidRPr="007D0154">
        <w:rPr>
          <w:rFonts w:ascii="Tahoma" w:eastAsia="Times New Roman" w:hAnsi="Tahoma" w:cs="Tahoma"/>
          <w:sz w:val="20"/>
          <w:szCs w:val="20"/>
        </w:rPr>
        <w:t>гласник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РС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", </w:t>
      </w:r>
      <w:r w:rsidRPr="007D0154">
        <w:rPr>
          <w:rFonts w:ascii="Tahoma" w:eastAsia="Times New Roman" w:hAnsi="Tahoma" w:cs="Tahoma"/>
          <w:sz w:val="20"/>
          <w:szCs w:val="20"/>
        </w:rPr>
        <w:t>бр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54/2009, 73/2010, 101/2010, 101/2011, 93/2012, 62/2013, 63/2013 - </w:t>
      </w:r>
      <w:proofErr w:type="spellStart"/>
      <w:r w:rsidRPr="007D0154">
        <w:rPr>
          <w:rFonts w:ascii="Tahoma" w:eastAsia="Times New Roman" w:hAnsi="Tahoma" w:cs="Tahoma"/>
          <w:sz w:val="20"/>
          <w:szCs w:val="20"/>
        </w:rPr>
        <w:t>испр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., 108/2013, 142/2014, 68/2015 - </w:t>
      </w:r>
      <w:r w:rsidRPr="007D0154">
        <w:rPr>
          <w:rFonts w:ascii="Tahoma" w:eastAsia="Times New Roman" w:hAnsi="Tahoma" w:cs="Tahoma"/>
          <w:sz w:val="20"/>
          <w:szCs w:val="20"/>
        </w:rPr>
        <w:t>др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r w:rsidRPr="007D0154">
        <w:rPr>
          <w:rFonts w:ascii="Tahoma" w:eastAsia="Times New Roman" w:hAnsi="Tahoma" w:cs="Tahoma"/>
          <w:sz w:val="20"/>
          <w:szCs w:val="20"/>
        </w:rPr>
        <w:t>закон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, 103/2015, 99/2016</w:t>
      </w:r>
      <w:r w:rsidRPr="007D0154">
        <w:rPr>
          <w:rFonts w:ascii="Tahoma" w:eastAsia="Times New Roman" w:hAnsi="Tahoma" w:cs="Tahoma"/>
          <w:sz w:val="20"/>
          <w:szCs w:val="20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113/2017</w:t>
      </w:r>
      <w:r w:rsidRPr="007D0154">
        <w:rPr>
          <w:rFonts w:ascii="Tahoma" w:eastAsia="Times New Roman" w:hAnsi="Tahoma" w:cs="Tahoma"/>
          <w:sz w:val="20"/>
          <w:szCs w:val="20"/>
        </w:rPr>
        <w:t>, 95/2018, 31/2019, 72/2019</w:t>
      </w:r>
      <w:r w:rsidRPr="007D0154">
        <w:rPr>
          <w:rFonts w:ascii="Times New Roman" w:eastAsia="Times New Roman" w:hAnsi="Times New Roman" w:cs="Times New Roman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1</w:t>
      </w:r>
      <w:r w:rsidRPr="007D0154">
        <w:rPr>
          <w:rFonts w:ascii="Tahoma" w:eastAsia="Times New Roman" w:hAnsi="Tahoma" w:cs="Tahoma"/>
          <w:sz w:val="20"/>
          <w:szCs w:val="20"/>
        </w:rPr>
        <w:t>49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/2020</w:t>
      </w:r>
      <w:r w:rsidRPr="007D0154">
        <w:rPr>
          <w:rFonts w:ascii="Tahoma" w:eastAsia="Times New Roman" w:hAnsi="Tahoma" w:cs="Tahoma"/>
          <w:sz w:val="20"/>
          <w:szCs w:val="20"/>
        </w:rPr>
        <w:t>, 118/2021, 138/2022 и 118/2021 - др. закон)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орган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надлежан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буџет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ЈЛС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навести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назив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: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Секретаријат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, Служба,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Одељење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финансије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општинске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управе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сл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.)</w:t>
      </w:r>
      <w:r w:rsidRPr="007D0154">
        <w:rPr>
          <w:rFonts w:ascii="Tahoma" w:eastAsia="Times New Roman" w:hAnsi="Tahoma" w:cs="Tahoma"/>
          <w:sz w:val="20"/>
          <w:szCs w:val="20"/>
          <w:vertAlign w:val="superscript"/>
          <w:lang w:val="en-US"/>
        </w:rPr>
        <w:footnoteReference w:id="1"/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доноси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</w:p>
    <w:p w14:paraId="622C194A" w14:textId="77777777" w:rsidR="007D0154" w:rsidRPr="007D0154" w:rsidRDefault="007D0154" w:rsidP="007D0154">
      <w:pPr>
        <w:jc w:val="center"/>
        <w:rPr>
          <w:rFonts w:ascii="Tahoma" w:eastAsia="Times New Roman" w:hAnsi="Tahoma" w:cs="Tahoma"/>
          <w:sz w:val="20"/>
          <w:szCs w:val="20"/>
          <w:lang w:val="en-US"/>
        </w:rPr>
      </w:pPr>
    </w:p>
    <w:p w14:paraId="50D322B8" w14:textId="77777777" w:rsidR="007D0154" w:rsidRPr="007D0154" w:rsidRDefault="007D0154" w:rsidP="007D0154">
      <w:pPr>
        <w:jc w:val="center"/>
        <w:rPr>
          <w:rFonts w:ascii="Tahoma" w:eastAsia="Times New Roman" w:hAnsi="Tahoma" w:cs="Tahoma"/>
          <w:sz w:val="20"/>
          <w:szCs w:val="20"/>
          <w:lang w:val="en-US"/>
        </w:rPr>
      </w:pPr>
    </w:p>
    <w:p w14:paraId="4EE7C9D4" w14:textId="77777777" w:rsidR="007D0154" w:rsidRPr="007D0154" w:rsidRDefault="007D0154" w:rsidP="007D0154">
      <w:pPr>
        <w:jc w:val="center"/>
        <w:rPr>
          <w:rFonts w:ascii="Tahoma" w:eastAsia="Times New Roman" w:hAnsi="Tahoma" w:cs="Tahoma"/>
          <w:sz w:val="20"/>
          <w:szCs w:val="20"/>
          <w:lang w:val="en-US"/>
        </w:rPr>
      </w:pPr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 ПОСТУПНОГ УВОЂЕЊА РОДНО ОДГОВОРНОГ БУЏЕТИРАЊА У ПОСТУПАК ПРИПРЕМЕ И ДОНОШЕЊА БУЏЕТА (ГРАДА/ОПШТИНЕ) ЗА 20</w:t>
      </w:r>
      <w:r w:rsidRPr="007D0154">
        <w:rPr>
          <w:rFonts w:ascii="Tahoma" w:eastAsia="Times New Roman" w:hAnsi="Tahoma" w:cs="Tahoma"/>
          <w:sz w:val="20"/>
          <w:szCs w:val="20"/>
        </w:rPr>
        <w:t>24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. ГОДИНУ</w:t>
      </w:r>
    </w:p>
    <w:p w14:paraId="2D36B3D1" w14:textId="77777777" w:rsidR="007D0154" w:rsidRPr="007D0154" w:rsidRDefault="007D0154" w:rsidP="007D0154">
      <w:pPr>
        <w:jc w:val="center"/>
        <w:rPr>
          <w:rFonts w:ascii="Tahoma" w:eastAsia="Times New Roman" w:hAnsi="Tahoma" w:cs="Tahoma"/>
          <w:sz w:val="20"/>
          <w:szCs w:val="20"/>
          <w:lang w:val="en-US"/>
        </w:rPr>
      </w:pPr>
    </w:p>
    <w:p w14:paraId="269D1EB0" w14:textId="77777777" w:rsidR="007D0154" w:rsidRPr="007D0154" w:rsidRDefault="007D0154" w:rsidP="007D0154">
      <w:pPr>
        <w:jc w:val="center"/>
        <w:rPr>
          <w:rFonts w:ascii="Tahoma" w:eastAsia="Times New Roman" w:hAnsi="Tahoma" w:cs="Tahoma"/>
          <w:sz w:val="20"/>
          <w:szCs w:val="20"/>
          <w:lang w:val="en-US"/>
        </w:rPr>
      </w:pPr>
    </w:p>
    <w:p w14:paraId="74AEFD88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односно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увођење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принципа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процес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подразумева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анализу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реструктурирање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прихода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расхода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циљем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унапређења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Град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општина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посвећен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(а)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континуираном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подизању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квалитета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управљања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јавним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финансијама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ефективно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одговарају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потребе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локалне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заједнице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доприноси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побољшању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ефективности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транспарентности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омогућава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бољи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увид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жене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мушкарци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имају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средстава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 </w:t>
      </w:r>
    </w:p>
    <w:p w14:paraId="78414210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7A906329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  <w:r w:rsidRPr="007D0154">
        <w:rPr>
          <w:rFonts w:ascii="Tahoma" w:eastAsia="Times New Roman" w:hAnsi="Tahoma" w:cs="Tahoma"/>
          <w:sz w:val="20"/>
          <w:szCs w:val="20"/>
        </w:rPr>
        <w:t>[</w:t>
      </w:r>
      <w:r w:rsidRPr="007D0154">
        <w:rPr>
          <w:rFonts w:ascii="Tahoma" w:eastAsia="Times New Roman" w:hAnsi="Tahoma" w:cs="Tahoma"/>
          <w:i/>
          <w:sz w:val="20"/>
          <w:szCs w:val="20"/>
        </w:rPr>
        <w:t>ПАСУС РЕЛЕВАНТАН ЗА ОНЕ ЛС КОЈЕ СУ ВЕЋ ПОКРЕНУЛЕ РОБ У ПРЕТХОДНИМ ЦИКЛУСИМА И НАСТАВЉАЈУ ЊЕГОВУ ДАЉУ ПРИМЕНУ:</w:t>
      </w:r>
      <w:r w:rsidRPr="007D0154">
        <w:rPr>
          <w:rFonts w:ascii="Tahoma" w:eastAsia="Times New Roman" w:hAnsi="Tahoma" w:cs="Tahoma"/>
          <w:sz w:val="20"/>
          <w:szCs w:val="20"/>
        </w:rPr>
        <w:t xml:space="preserve"> Имајући у виду да је у претходним циклусима израде буџета </w:t>
      </w:r>
      <w:r w:rsidRPr="007D0154">
        <w:rPr>
          <w:rFonts w:ascii="Tahoma" w:eastAsia="Times New Roman" w:hAnsi="Tahoma" w:cs="Tahoma"/>
          <w:i/>
          <w:iCs/>
          <w:sz w:val="20"/>
          <w:szCs w:val="20"/>
        </w:rPr>
        <w:t>(или за конкретну годину – навести)</w:t>
      </w:r>
      <w:r w:rsidRPr="007D0154">
        <w:rPr>
          <w:rFonts w:ascii="Tahoma" w:eastAsia="Times New Roman" w:hAnsi="Tahoma" w:cs="Tahoma"/>
          <w:sz w:val="20"/>
          <w:szCs w:val="20"/>
        </w:rPr>
        <w:t>, родно одговорно буџетирање предвиђено у оквиру програма (</w:t>
      </w:r>
      <w:r w:rsidRPr="007D0154">
        <w:rPr>
          <w:rFonts w:ascii="Tahoma" w:eastAsia="Times New Roman" w:hAnsi="Tahoma" w:cs="Tahoma"/>
          <w:i/>
          <w:sz w:val="20"/>
          <w:szCs w:val="20"/>
        </w:rPr>
        <w:t>навести програм/е</w:t>
      </w:r>
      <w:r w:rsidRPr="007D0154">
        <w:rPr>
          <w:rFonts w:ascii="Tahoma" w:eastAsia="Times New Roman" w:hAnsi="Tahoma" w:cs="Tahoma"/>
          <w:sz w:val="20"/>
          <w:szCs w:val="20"/>
        </w:rPr>
        <w:t>) код корисника (</w:t>
      </w:r>
      <w:r w:rsidRPr="007D0154">
        <w:rPr>
          <w:rFonts w:ascii="Tahoma" w:eastAsia="Times New Roman" w:hAnsi="Tahoma" w:cs="Tahoma"/>
          <w:i/>
          <w:sz w:val="20"/>
          <w:szCs w:val="20"/>
        </w:rPr>
        <w:t>навести назив буџетског корисника, једног или више</w:t>
      </w:r>
      <w:r w:rsidRPr="007D0154">
        <w:rPr>
          <w:rFonts w:ascii="Tahoma" w:eastAsia="Times New Roman" w:hAnsi="Tahoma" w:cs="Tahoma"/>
          <w:sz w:val="20"/>
          <w:szCs w:val="20"/>
        </w:rPr>
        <w:t>), програмске информације (циљеви, индикатори са вредностима) које су садржале родну перспективу задржавају се/ажурирају и у циклусу израде буџета за 2024. годину, а предвиђају се и додатни родно одговорни циљеви (и припадајући индикатори) у складу са прегледом у доњој табели.]</w:t>
      </w:r>
    </w:p>
    <w:p w14:paraId="103905C5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</w:rPr>
      </w:pPr>
    </w:p>
    <w:p w14:paraId="769F235D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поступног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увођења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20</w:t>
      </w:r>
      <w:r w:rsidRPr="007D0154">
        <w:rPr>
          <w:rFonts w:ascii="Tahoma" w:eastAsia="Times New Roman" w:hAnsi="Tahoma" w:cs="Tahoma"/>
          <w:sz w:val="20"/>
          <w:szCs w:val="20"/>
        </w:rPr>
        <w:t>24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годину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даљем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тексту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: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уводи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 xml:space="preserve">се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корисника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средстава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: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градска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општинска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управа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навести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  <w:t>назив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другог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или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додатних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буџетских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корисника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)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путем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дефинисања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компоненте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односно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циљева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индикатора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навести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укупан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u w:val="single"/>
          <w:lang w:val="en-US"/>
        </w:rPr>
        <w:t>број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опредељених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један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или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више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521CADF4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314A5D8E" w14:textId="77777777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Увођење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поступку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припреме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доношења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20</w:t>
      </w:r>
      <w:r w:rsidRPr="007D0154">
        <w:rPr>
          <w:rFonts w:ascii="Tahoma" w:eastAsia="Times New Roman" w:hAnsi="Tahoma" w:cs="Tahoma"/>
          <w:sz w:val="20"/>
          <w:szCs w:val="20"/>
        </w:rPr>
        <w:t>24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годину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утврђује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према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приказаном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следећом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табелом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:</w:t>
      </w:r>
    </w:p>
    <w:p w14:paraId="0CF3EA5A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133"/>
        <w:gridCol w:w="4364"/>
      </w:tblGrid>
      <w:tr w:rsidR="007D0154" w:rsidRPr="007D0154" w14:paraId="6C473234" w14:textId="77777777" w:rsidTr="00BB45F4">
        <w:tc>
          <w:tcPr>
            <w:tcW w:w="792" w:type="dxa"/>
            <w:shd w:val="clear" w:color="auto" w:fill="BFBFBF"/>
          </w:tcPr>
          <w:p w14:paraId="04724967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Редни</w:t>
            </w:r>
            <w:proofErr w:type="spellEnd"/>
          </w:p>
          <w:p w14:paraId="2F76AB91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број</w:t>
            </w:r>
            <w:proofErr w:type="spellEnd"/>
          </w:p>
        </w:tc>
        <w:tc>
          <w:tcPr>
            <w:tcW w:w="4133" w:type="dxa"/>
            <w:shd w:val="clear" w:color="auto" w:fill="BFBFBF"/>
          </w:tcPr>
          <w:p w14:paraId="76A0A786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  <w:p w14:paraId="0C47B552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НАЗИВ БУЏЕТСКОГ КОРИСНИКА</w:t>
            </w:r>
          </w:p>
        </w:tc>
        <w:tc>
          <w:tcPr>
            <w:tcW w:w="4364" w:type="dxa"/>
            <w:shd w:val="clear" w:color="auto" w:fill="BFBFBF"/>
          </w:tcPr>
          <w:p w14:paraId="3603C529" w14:textId="50269180" w:rsidR="007D0154" w:rsidRPr="007D0154" w:rsidRDefault="00F12E5E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ШИФРА И </w:t>
            </w:r>
            <w:r w:rsidR="007D0154" w:rsidRPr="007D0154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НАЗИВ ПРОГРАМА</w:t>
            </w:r>
            <w:r w:rsidR="007D0154" w:rsidRPr="007D0154">
              <w:rPr>
                <w:rFonts w:ascii="Tahoma" w:eastAsia="Times New Roman" w:hAnsi="Tahoma" w:cs="Tahoma"/>
                <w:b/>
                <w:sz w:val="18"/>
                <w:szCs w:val="18"/>
                <w:vertAlign w:val="superscript"/>
                <w:lang w:val="en-US"/>
              </w:rPr>
              <w:footnoteReference w:id="2"/>
            </w:r>
          </w:p>
          <w:p w14:paraId="49AF7C7A" w14:textId="77777777" w:rsidR="007D0154" w:rsidRPr="007D0154" w:rsidRDefault="007D0154" w:rsidP="007D0154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D0154">
              <w:rPr>
                <w:rFonts w:ascii="Tahoma" w:eastAsia="Times New Roman" w:hAnsi="Tahoma" w:cs="Tahoma"/>
                <w:b/>
                <w:sz w:val="18"/>
                <w:szCs w:val="18"/>
              </w:rPr>
              <w:t>(</w:t>
            </w:r>
            <w:r w:rsidRPr="007D0154">
              <w:rPr>
                <w:rFonts w:ascii="Tahoma" w:eastAsia="Times New Roman" w:hAnsi="Tahoma" w:cs="Tahoma"/>
                <w:b/>
                <w:i/>
                <w:sz w:val="18"/>
                <w:szCs w:val="18"/>
              </w:rPr>
              <w:t>евентуално и програмских активности</w:t>
            </w:r>
            <w:r w:rsidRPr="007D0154">
              <w:rPr>
                <w:rFonts w:ascii="Tahoma" w:eastAsia="Times New Roman" w:hAnsi="Tahoma" w:cs="Tahoma"/>
                <w:b/>
                <w:sz w:val="18"/>
                <w:szCs w:val="18"/>
              </w:rPr>
              <w:t>)</w:t>
            </w:r>
          </w:p>
        </w:tc>
      </w:tr>
      <w:tr w:rsidR="007D0154" w:rsidRPr="007D0154" w14:paraId="730A6234" w14:textId="77777777" w:rsidTr="00BB45F4">
        <w:trPr>
          <w:trHeight w:val="103"/>
        </w:trPr>
        <w:tc>
          <w:tcPr>
            <w:tcW w:w="792" w:type="dxa"/>
            <w:shd w:val="clear" w:color="auto" w:fill="auto"/>
          </w:tcPr>
          <w:p w14:paraId="025DE596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1.</w:t>
            </w:r>
          </w:p>
        </w:tc>
        <w:tc>
          <w:tcPr>
            <w:tcW w:w="4133" w:type="dxa"/>
            <w:vMerge w:val="restart"/>
            <w:shd w:val="clear" w:color="auto" w:fill="auto"/>
          </w:tcPr>
          <w:p w14:paraId="673D6629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Општинска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градска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управа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града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општине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4364" w:type="dxa"/>
            <w:shd w:val="clear" w:color="auto" w:fill="auto"/>
          </w:tcPr>
          <w:p w14:paraId="443F4672" w14:textId="77777777" w:rsidR="00F12E5E" w:rsidRDefault="00F12E5E" w:rsidP="00F12E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1501 </w:t>
            </w:r>
          </w:p>
          <w:p w14:paraId="3985155A" w14:textId="40AFF9A1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Локални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економски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развој</w:t>
            </w:r>
            <w:proofErr w:type="spellEnd"/>
          </w:p>
          <w:p w14:paraId="41910219" w14:textId="4FC7B722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Pr="007D0154">
              <w:rPr>
                <w:rFonts w:ascii="Tahoma" w:eastAsia="Times New Roman" w:hAnsi="Tahoma" w:cs="Tahoma"/>
                <w:i/>
                <w:sz w:val="20"/>
                <w:szCs w:val="20"/>
              </w:rPr>
              <w:t xml:space="preserve">ПА </w:t>
            </w:r>
            <w:r w:rsidR="00F12E5E">
              <w:rPr>
                <w:rFonts w:ascii="Tahoma" w:eastAsia="Times New Roman" w:hAnsi="Tahoma" w:cs="Tahoma"/>
                <w:i/>
                <w:sz w:val="20"/>
                <w:szCs w:val="20"/>
              </w:rPr>
              <w:t>1501-</w:t>
            </w:r>
            <w:r w:rsidRPr="007D0154">
              <w:rPr>
                <w:rFonts w:ascii="Tahoma" w:eastAsia="Times New Roman" w:hAnsi="Tahoma" w:cs="Tahoma"/>
                <w:i/>
                <w:sz w:val="20"/>
                <w:szCs w:val="20"/>
              </w:rPr>
              <w:t>0003 - …</w:t>
            </w:r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</w:tr>
      <w:tr w:rsidR="007D0154" w:rsidRPr="007D0154" w14:paraId="4B5A484C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70665F05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22584605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13B9C860" w14:textId="77777777" w:rsidR="00F12E5E" w:rsidRDefault="00F12E5E" w:rsidP="00F12E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0902 </w:t>
            </w:r>
          </w:p>
          <w:p w14:paraId="2F82E364" w14:textId="3A085DA5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Социјална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деч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ја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заштита</w:t>
            </w:r>
            <w:proofErr w:type="spellEnd"/>
          </w:p>
        </w:tc>
      </w:tr>
      <w:tr w:rsidR="007D0154" w:rsidRPr="007D0154" w14:paraId="0E22ECD2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619464B3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14E7FFBF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1FCA05CA" w14:textId="6DFD59B5" w:rsidR="00F12E5E" w:rsidRPr="007D0154" w:rsidRDefault="00F12E5E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14:paraId="34685031" w14:textId="77777777" w:rsidR="00F12E5E" w:rsidRDefault="00F12E5E" w:rsidP="00F12E5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1301 </w:t>
            </w:r>
          </w:p>
          <w:p w14:paraId="234AF843" w14:textId="45FDAD30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Развој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спорта</w:t>
            </w:r>
            <w:proofErr w:type="spellEnd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омладине</w:t>
            </w:r>
            <w:proofErr w:type="spellEnd"/>
          </w:p>
        </w:tc>
      </w:tr>
      <w:tr w:rsidR="007D0154" w:rsidRPr="007D0154" w14:paraId="5C4E3B9C" w14:textId="77777777" w:rsidTr="00BB45F4">
        <w:trPr>
          <w:trHeight w:val="101"/>
        </w:trPr>
        <w:tc>
          <w:tcPr>
            <w:tcW w:w="792" w:type="dxa"/>
            <w:shd w:val="clear" w:color="auto" w:fill="auto"/>
          </w:tcPr>
          <w:p w14:paraId="6CE3FCE4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133" w:type="dxa"/>
            <w:vMerge/>
            <w:shd w:val="clear" w:color="auto" w:fill="auto"/>
          </w:tcPr>
          <w:p w14:paraId="0169B769" w14:textId="77777777" w:rsidR="007D0154" w:rsidRPr="007D0154" w:rsidRDefault="007D0154" w:rsidP="007D0154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64" w:type="dxa"/>
            <w:shd w:val="clear" w:color="auto" w:fill="auto"/>
          </w:tcPr>
          <w:p w14:paraId="4FADDEEE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  <w:tr w:rsidR="007D0154" w:rsidRPr="007D0154" w14:paraId="0B0817D3" w14:textId="77777777" w:rsidTr="00BB45F4">
        <w:tc>
          <w:tcPr>
            <w:tcW w:w="792" w:type="dxa"/>
            <w:shd w:val="clear" w:color="auto" w:fill="auto"/>
          </w:tcPr>
          <w:p w14:paraId="4051AB3C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</w:t>
            </w:r>
          </w:p>
        </w:tc>
        <w:tc>
          <w:tcPr>
            <w:tcW w:w="4133" w:type="dxa"/>
            <w:shd w:val="clear" w:color="auto" w:fill="auto"/>
          </w:tcPr>
          <w:p w14:paraId="1822F54A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...</w:t>
            </w:r>
          </w:p>
        </w:tc>
        <w:tc>
          <w:tcPr>
            <w:tcW w:w="4364" w:type="dxa"/>
            <w:shd w:val="clear" w:color="auto" w:fill="auto"/>
          </w:tcPr>
          <w:p w14:paraId="1028DF38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  <w:tr w:rsidR="007D0154" w:rsidRPr="007D0154" w14:paraId="4EDB0B62" w14:textId="77777777" w:rsidTr="00BB45F4">
        <w:tc>
          <w:tcPr>
            <w:tcW w:w="792" w:type="dxa"/>
            <w:shd w:val="clear" w:color="auto" w:fill="auto"/>
          </w:tcPr>
          <w:p w14:paraId="5086C122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</w:t>
            </w:r>
          </w:p>
        </w:tc>
        <w:tc>
          <w:tcPr>
            <w:tcW w:w="4133" w:type="dxa"/>
            <w:shd w:val="clear" w:color="auto" w:fill="auto"/>
          </w:tcPr>
          <w:p w14:paraId="5CAC1A21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  <w:tc>
          <w:tcPr>
            <w:tcW w:w="4364" w:type="dxa"/>
            <w:shd w:val="clear" w:color="auto" w:fill="auto"/>
          </w:tcPr>
          <w:p w14:paraId="51734997" w14:textId="77777777" w:rsidR="007D0154" w:rsidRPr="007D0154" w:rsidRDefault="007D0154" w:rsidP="007D0154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7D0154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...</w:t>
            </w:r>
          </w:p>
        </w:tc>
      </w:tr>
    </w:tbl>
    <w:p w14:paraId="44508D29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61444093" w14:textId="65C58426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Овај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утврђује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као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минималан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смислу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обухвата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корисника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којег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којих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уводи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компонента</w:t>
      </w:r>
      <w:proofErr w:type="spellEnd"/>
      <w:r w:rsidRPr="007D0154">
        <w:rPr>
          <w:rFonts w:ascii="Tahoma" w:eastAsia="Times New Roman" w:hAnsi="Tahoma" w:cs="Tahoma"/>
          <w:sz w:val="20"/>
          <w:szCs w:val="20"/>
        </w:rPr>
        <w:t>. Следствено томе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ће у предлогу финансијског плана опредељеног(</w:t>
      </w:r>
      <w:r w:rsidRPr="007D0154">
        <w:rPr>
          <w:rFonts w:ascii="Tahoma" w:eastAsia="Times New Roman" w:hAnsi="Tahoma" w:cs="Tahoma"/>
          <w:i/>
          <w:sz w:val="20"/>
          <w:szCs w:val="20"/>
        </w:rPr>
        <w:t>их</w:t>
      </w:r>
      <w:r w:rsidRPr="007D0154">
        <w:rPr>
          <w:rFonts w:ascii="Tahoma" w:eastAsia="Times New Roman" w:hAnsi="Tahoma" w:cs="Tahoma"/>
          <w:sz w:val="20"/>
          <w:szCs w:val="20"/>
        </w:rPr>
        <w:t>) буџетског(</w:t>
      </w:r>
      <w:r w:rsidRPr="007D0154">
        <w:rPr>
          <w:rFonts w:ascii="Tahoma" w:eastAsia="Times New Roman" w:hAnsi="Tahoma" w:cs="Tahoma"/>
          <w:i/>
          <w:sz w:val="20"/>
          <w:szCs w:val="20"/>
        </w:rPr>
        <w:t>их</w:t>
      </w:r>
      <w:r w:rsidRPr="007D0154">
        <w:rPr>
          <w:rFonts w:ascii="Tahoma" w:eastAsia="Times New Roman" w:hAnsi="Tahoma" w:cs="Tahoma"/>
          <w:sz w:val="20"/>
          <w:szCs w:val="20"/>
        </w:rPr>
        <w:t xml:space="preserve">) корисника (а затим и у Одлуци о буџету) за 2024. годину,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бити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дефинисан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најмање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један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</w:t>
      </w:r>
      <w:proofErr w:type="spellEnd"/>
      <w:r w:rsidR="00F12E5E">
        <w:rPr>
          <w:rFonts w:ascii="Tahoma" w:eastAsia="Times New Roman" w:hAnsi="Tahoma" w:cs="Tahoma"/>
          <w:sz w:val="20"/>
          <w:szCs w:val="20"/>
        </w:rPr>
        <w:t>о одговорни</w:t>
      </w:r>
      <w:r w:rsidR="0006347A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сваког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опредељених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било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нивоу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или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уз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настојање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>принцип родне одговорности</w:t>
      </w:r>
      <w:r w:rsidR="00F12E5E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примени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нивоа</w:t>
      </w:r>
      <w:proofErr w:type="spellEnd"/>
      <w:r w:rsidRPr="007D0154">
        <w:rPr>
          <w:rFonts w:ascii="Tahoma" w:eastAsia="Times New Roman" w:hAnsi="Tahoma" w:cs="Tahoma"/>
          <w:sz w:val="20"/>
          <w:szCs w:val="20"/>
        </w:rPr>
        <w:t xml:space="preserve"> (као и додавањем у оквиру дефинисаних пројеката, уколико је применљиво).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Такође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уз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сваки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дефинисани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F12E5E" w:rsidRPr="007D0154">
        <w:rPr>
          <w:rFonts w:ascii="Tahoma" w:eastAsia="Times New Roman" w:hAnsi="Tahoma" w:cs="Tahoma"/>
          <w:sz w:val="20"/>
          <w:szCs w:val="20"/>
          <w:lang w:val="en-US"/>
        </w:rPr>
        <w:t>родн</w:t>
      </w:r>
      <w:proofErr w:type="spellEnd"/>
      <w:r w:rsidR="00F12E5E">
        <w:rPr>
          <w:rFonts w:ascii="Tahoma" w:eastAsia="Times New Roman" w:hAnsi="Tahoma" w:cs="Tahoma"/>
          <w:sz w:val="20"/>
          <w:szCs w:val="20"/>
        </w:rPr>
        <w:t>о одговорни</w:t>
      </w:r>
      <w:r w:rsidR="00F12E5E" w:rsidRPr="007D0154" w:rsidDel="00F12E5E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обавезно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дефинисање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најмање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једног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F12E5E" w:rsidRPr="007D0154">
        <w:rPr>
          <w:rFonts w:ascii="Tahoma" w:eastAsia="Times New Roman" w:hAnsi="Tahoma" w:cs="Tahoma"/>
          <w:sz w:val="20"/>
          <w:szCs w:val="20"/>
          <w:lang w:val="en-US"/>
        </w:rPr>
        <w:t>родн</w:t>
      </w:r>
      <w:proofErr w:type="spellEnd"/>
      <w:r w:rsidR="00F12E5E">
        <w:rPr>
          <w:rFonts w:ascii="Tahoma" w:eastAsia="Times New Roman" w:hAnsi="Tahoma" w:cs="Tahoma"/>
          <w:sz w:val="20"/>
          <w:szCs w:val="20"/>
        </w:rPr>
        <w:t>о одговорног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показатеља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праћење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постизања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односног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 xml:space="preserve">односно циља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="00F12E5E">
        <w:rPr>
          <w:rFonts w:ascii="Tahoma" w:eastAsia="Times New Roman" w:hAnsi="Tahoma" w:cs="Tahoma"/>
          <w:sz w:val="20"/>
          <w:szCs w:val="20"/>
        </w:rPr>
        <w:t xml:space="preserve"> и/или</w:t>
      </w:r>
      <w:r w:rsidRPr="007D0154">
        <w:rPr>
          <w:rFonts w:ascii="Tahoma" w:eastAsia="Times New Roman" w:hAnsi="Tahoma" w:cs="Tahoma"/>
          <w:sz w:val="20"/>
          <w:szCs w:val="20"/>
        </w:rPr>
        <w:t xml:space="preserve"> пројекта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  </w:t>
      </w:r>
    </w:p>
    <w:p w14:paraId="126E29B6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2742EA95" w14:textId="198DB5D2" w:rsidR="007D0154" w:rsidRPr="007D0154" w:rsidRDefault="00F12E5E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</w:rPr>
        <w:t>Шифре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називи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програма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</w:rPr>
        <w:t>/ПА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из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овог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плана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не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могу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мењати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и морају бити у складу са шифрама</w:t>
      </w:r>
      <w:r w:rsidR="0006347A">
        <w:rPr>
          <w:rFonts w:ascii="Tahoma" w:eastAsia="Times New Roman" w:hAnsi="Tahoma" w:cs="Tahoma"/>
          <w:sz w:val="20"/>
          <w:szCs w:val="20"/>
          <w:lang w:val="sr-Latn-R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називима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</w:t>
      </w:r>
      <w:proofErr w:type="spellEnd"/>
      <w:r>
        <w:rPr>
          <w:rFonts w:ascii="Tahoma" w:eastAsia="Times New Roman" w:hAnsi="Tahoma" w:cs="Tahoma"/>
          <w:sz w:val="20"/>
          <w:szCs w:val="20"/>
        </w:rPr>
        <w:t>а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програмски</w:t>
      </w:r>
      <w:proofErr w:type="spellEnd"/>
      <w:r>
        <w:rPr>
          <w:rFonts w:ascii="Tahoma" w:eastAsia="Times New Roman" w:hAnsi="Tahoma" w:cs="Tahoma"/>
          <w:sz w:val="20"/>
          <w:szCs w:val="20"/>
        </w:rPr>
        <w:t>х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локалне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самоуправе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утврђени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</w:rPr>
        <w:t>м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20</w:t>
      </w:r>
      <w:r w:rsidR="007D0154" w:rsidRPr="007D0154">
        <w:rPr>
          <w:rFonts w:ascii="Tahoma" w:eastAsia="Times New Roman" w:hAnsi="Tahoma" w:cs="Tahoma"/>
          <w:sz w:val="20"/>
          <w:szCs w:val="20"/>
        </w:rPr>
        <w:t>24</w:t>
      </w:r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>годину</w:t>
      </w:r>
      <w:proofErr w:type="spellEnd"/>
      <w:r w:rsidR="007D0154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</w:p>
    <w:p w14:paraId="4D2E2A33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7F15B8B8" w14:textId="6C8503EA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постављању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 xml:space="preserve">родно одговорних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циљева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показатеља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корисник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корисници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користе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релевантне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локалне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документе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r w:rsidRPr="007D0154">
        <w:rPr>
          <w:rFonts w:ascii="Tahoma" w:eastAsia="Times New Roman" w:hAnsi="Tahoma" w:cs="Tahoma"/>
          <w:sz w:val="20"/>
          <w:szCs w:val="20"/>
        </w:rPr>
        <w:t>укључујући и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акциони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навести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назив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документа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уколико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усвојен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руководи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(</w:t>
      </w:r>
      <w:proofErr w:type="spellStart"/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руководе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)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приступом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садржаним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националним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секторским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или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хоризонталним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документима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као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што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7E527C">
        <w:rPr>
          <w:rFonts w:ascii="Tahoma" w:eastAsia="Times New Roman" w:hAnsi="Tahoma" w:cs="Tahoma"/>
          <w:sz w:val="20"/>
          <w:szCs w:val="20"/>
        </w:rPr>
        <w:t>Н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ационална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Pr="007D0154">
        <w:rPr>
          <w:rFonts w:ascii="Tahoma" w:eastAsia="Times New Roman" w:hAnsi="Tahoma" w:cs="Tahoma"/>
          <w:sz w:val="20"/>
          <w:szCs w:val="20"/>
        </w:rPr>
        <w:t>С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тратегија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равноправност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период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20</w:t>
      </w:r>
      <w:r w:rsidRPr="007D0154">
        <w:rPr>
          <w:rFonts w:ascii="Tahoma" w:eastAsia="Times New Roman" w:hAnsi="Tahoma" w:cs="Tahoma"/>
          <w:sz w:val="20"/>
          <w:szCs w:val="20"/>
        </w:rPr>
        <w:t>21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20</w:t>
      </w:r>
      <w:r w:rsidRPr="007D0154">
        <w:rPr>
          <w:rFonts w:ascii="Tahoma" w:eastAsia="Times New Roman" w:hAnsi="Tahoma" w:cs="Tahoma"/>
          <w:sz w:val="20"/>
          <w:szCs w:val="20"/>
        </w:rPr>
        <w:t>30</w:t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.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године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vertAlign w:val="superscript"/>
          <w:lang w:val="en-US"/>
        </w:rPr>
        <w:footnoteReference w:id="3"/>
      </w:r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7F5C7502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1901CBD5" w14:textId="77777777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Послови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координације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подршке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увођењу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родно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одговорног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спроводе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радне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групе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тима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за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програмско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буџетирање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74F578D3" w14:textId="77777777" w:rsidR="007D0154" w:rsidRPr="007D0154" w:rsidRDefault="007D0154" w:rsidP="007D0154">
      <w:pPr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08293DAD" w14:textId="1E6AA9F5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подстичу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поступку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израде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програмског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кроз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програмске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активности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пројекте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у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оквиру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својих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надлежности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r w:rsidR="00F12E5E">
        <w:rPr>
          <w:rFonts w:ascii="Tahoma" w:eastAsia="Times New Roman" w:hAnsi="Tahoma" w:cs="Tahoma"/>
          <w:sz w:val="20"/>
          <w:szCs w:val="20"/>
        </w:rPr>
        <w:t>дефинишу</w:t>
      </w:r>
      <w:r w:rsidR="00F12E5E"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F12E5E">
        <w:rPr>
          <w:rFonts w:ascii="Tahoma" w:eastAsia="Times New Roman" w:hAnsi="Tahoma" w:cs="Tahoma"/>
          <w:sz w:val="20"/>
          <w:szCs w:val="20"/>
        </w:rPr>
        <w:t xml:space="preserve">родно одговорне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показатеље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</w:p>
    <w:p w14:paraId="312FD59D" w14:textId="77777777" w:rsidR="007D0154" w:rsidRPr="007D0154" w:rsidRDefault="007D0154" w:rsidP="007D0154">
      <w:pPr>
        <w:ind w:left="720"/>
        <w:rPr>
          <w:rFonts w:ascii="Tahoma" w:eastAsia="Times New Roman" w:hAnsi="Tahoma" w:cs="Tahoma"/>
          <w:sz w:val="20"/>
          <w:szCs w:val="20"/>
          <w:lang w:val="en-US"/>
        </w:rPr>
      </w:pPr>
    </w:p>
    <w:p w14:paraId="1322B19E" w14:textId="77777777" w:rsidR="007D0154" w:rsidRPr="007D0154" w:rsidRDefault="007D0154" w:rsidP="007D0154">
      <w:pPr>
        <w:numPr>
          <w:ilvl w:val="0"/>
          <w:numId w:val="1"/>
        </w:numPr>
        <w:ind w:firstLine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Овај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план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објављује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на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интернет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страници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и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доставља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свим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буџетским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корисницима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града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/</w:t>
      </w:r>
      <w:proofErr w:type="spellStart"/>
      <w:r w:rsidRPr="007D0154">
        <w:rPr>
          <w:rFonts w:ascii="Tahoma" w:eastAsia="Times New Roman" w:hAnsi="Tahoma" w:cs="Tahoma"/>
          <w:sz w:val="20"/>
          <w:szCs w:val="20"/>
          <w:lang w:val="en-US"/>
        </w:rPr>
        <w:t>општине</w:t>
      </w:r>
      <w:proofErr w:type="spellEnd"/>
      <w:r w:rsidRPr="007D0154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14:paraId="3504BC1D" w14:textId="77777777" w:rsidR="007D0154" w:rsidRPr="007D0154" w:rsidRDefault="007D0154" w:rsidP="007D0154">
      <w:pPr>
        <w:ind w:left="720"/>
        <w:rPr>
          <w:rFonts w:ascii="Tahoma" w:eastAsia="Times New Roman" w:hAnsi="Tahoma" w:cs="Tahoma"/>
          <w:sz w:val="20"/>
          <w:szCs w:val="20"/>
          <w:lang w:val="en-US"/>
        </w:rPr>
      </w:pPr>
    </w:p>
    <w:p w14:paraId="11B1637A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5D4208F9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495F2780" w14:textId="77777777" w:rsidR="007D0154" w:rsidRPr="007D0154" w:rsidRDefault="007D0154" w:rsidP="007D0154">
      <w:pPr>
        <w:ind w:left="360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627B3AAE" w14:textId="77777777" w:rsidR="007D0154" w:rsidRPr="007D0154" w:rsidRDefault="007D0154" w:rsidP="007D0154">
      <w:pPr>
        <w:ind w:left="360"/>
        <w:jc w:val="right"/>
        <w:rPr>
          <w:rFonts w:ascii="Tahoma" w:eastAsia="Times New Roman" w:hAnsi="Tahoma" w:cs="Tahoma"/>
          <w:i/>
          <w:sz w:val="20"/>
          <w:szCs w:val="20"/>
          <w:lang w:val="en-US"/>
        </w:rPr>
      </w:pPr>
      <w:r w:rsidRPr="007D0154">
        <w:rPr>
          <w:rFonts w:ascii="Tahoma" w:eastAsia="Times New Roman" w:hAnsi="Tahoma" w:cs="Tahoma"/>
          <w:i/>
          <w:sz w:val="20"/>
          <w:szCs w:val="20"/>
          <w:lang w:val="en-US"/>
        </w:rPr>
        <w:t>ПОТПИС НАДЛЕЖНОГ ЛИЦА</w:t>
      </w:r>
    </w:p>
    <w:p w14:paraId="2C87159B" w14:textId="77777777" w:rsidR="007D0154" w:rsidRPr="007D0154" w:rsidRDefault="007D0154" w:rsidP="007D0154">
      <w:pPr>
        <w:ind w:left="-1701"/>
        <w:rPr>
          <w:rFonts w:ascii="Times New Roman" w:eastAsia="Times New Roman" w:hAnsi="Times New Roman" w:cs="Times New Roman"/>
          <w:lang w:val="en-US"/>
        </w:rPr>
      </w:pPr>
    </w:p>
    <w:p w14:paraId="5554A077" w14:textId="77777777" w:rsidR="007D0154" w:rsidRPr="007D0154" w:rsidRDefault="007D0154" w:rsidP="007D0154">
      <w:pPr>
        <w:rPr>
          <w:rFonts w:ascii="Times New Roman" w:eastAsia="Times New Roman" w:hAnsi="Times New Roman" w:cs="Times New Roman"/>
          <w:lang w:val="en-US"/>
        </w:rPr>
      </w:pPr>
    </w:p>
    <w:p w14:paraId="38F3FD3A" w14:textId="182A1B28" w:rsidR="00CA1EBF" w:rsidRDefault="00CA1EBF"/>
    <w:sectPr w:rsidR="00CA1EBF" w:rsidSect="000913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7425" w14:textId="77777777" w:rsidR="00591C39" w:rsidRDefault="00591C39" w:rsidP="00CC0E3D">
      <w:r>
        <w:separator/>
      </w:r>
    </w:p>
  </w:endnote>
  <w:endnote w:type="continuationSeparator" w:id="0">
    <w:p w14:paraId="3B68F84C" w14:textId="77777777" w:rsidR="00591C39" w:rsidRDefault="00591C39" w:rsidP="00CC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B2E" w14:textId="77777777" w:rsidR="001C1043" w:rsidRDefault="001C1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33DD" w14:textId="77777777" w:rsidR="001C1043" w:rsidRDefault="001C10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10D" w14:textId="77777777" w:rsidR="001C1043" w:rsidRDefault="001C1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F873" w14:textId="77777777" w:rsidR="00591C39" w:rsidRDefault="00591C39" w:rsidP="00CC0E3D">
      <w:r>
        <w:separator/>
      </w:r>
    </w:p>
  </w:footnote>
  <w:footnote w:type="continuationSeparator" w:id="0">
    <w:p w14:paraId="1547153A" w14:textId="77777777" w:rsidR="00591C39" w:rsidRDefault="00591C39" w:rsidP="00CC0E3D">
      <w:r>
        <w:continuationSeparator/>
      </w:r>
    </w:p>
  </w:footnote>
  <w:footnote w:id="1">
    <w:p w14:paraId="2A9CE82C" w14:textId="77777777" w:rsidR="007D0154" w:rsidRPr="00F05998" w:rsidRDefault="007D0154" w:rsidP="007D0154">
      <w:pPr>
        <w:pStyle w:val="FootnoteText"/>
        <w:jc w:val="both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Ако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је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применљиво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F05998">
        <w:rPr>
          <w:rFonts w:ascii="Tahoma" w:hAnsi="Tahoma" w:cs="Tahoma"/>
          <w:sz w:val="18"/>
          <w:szCs w:val="18"/>
        </w:rPr>
        <w:t>овде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навести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да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план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доноси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у </w:t>
      </w:r>
      <w:proofErr w:type="spellStart"/>
      <w:r w:rsidRPr="00F05998">
        <w:rPr>
          <w:rFonts w:ascii="Tahoma" w:hAnsi="Tahoma" w:cs="Tahoma"/>
          <w:sz w:val="18"/>
          <w:szCs w:val="18"/>
        </w:rPr>
        <w:t>сарадњи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r w:rsidRPr="00F05998">
        <w:rPr>
          <w:rFonts w:ascii="Tahoma" w:hAnsi="Tahoma" w:cs="Tahoma"/>
          <w:sz w:val="18"/>
          <w:szCs w:val="18"/>
          <w:lang w:val="sr-Cyrl-RS"/>
        </w:rPr>
        <w:t xml:space="preserve">телом/телима </w:t>
      </w:r>
      <w:r w:rsidRPr="00F05998">
        <w:rPr>
          <w:rFonts w:ascii="Tahoma" w:hAnsi="Tahoma" w:cs="Tahoma"/>
          <w:sz w:val="18"/>
          <w:szCs w:val="18"/>
        </w:rPr>
        <w:t xml:space="preserve">за </w:t>
      </w:r>
      <w:proofErr w:type="spellStart"/>
      <w:r w:rsidRPr="00F05998">
        <w:rPr>
          <w:rFonts w:ascii="Tahoma" w:hAnsi="Tahoma" w:cs="Tahoma"/>
          <w:sz w:val="18"/>
          <w:szCs w:val="18"/>
        </w:rPr>
        <w:t>родну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равноправност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r w:rsidRPr="00F05998">
        <w:rPr>
          <w:rFonts w:ascii="Tahoma" w:hAnsi="Tahoma" w:cs="Tahoma"/>
          <w:sz w:val="18"/>
          <w:szCs w:val="18"/>
          <w:lang w:val="sr-Cyrl-RS"/>
        </w:rPr>
        <w:t xml:space="preserve">(комисија за родну равноправност при скупштини ЈЛС и/или савет за родну равноправност </w:t>
      </w:r>
      <w:proofErr w:type="spellStart"/>
      <w:r w:rsidRPr="00F05998">
        <w:rPr>
          <w:rFonts w:ascii="Tahoma" w:hAnsi="Tahoma" w:cs="Tahoma"/>
          <w:sz w:val="18"/>
          <w:szCs w:val="18"/>
        </w:rPr>
        <w:t>на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нивоу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>)</w:t>
      </w:r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конкретне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ЈЛС. </w:t>
      </w:r>
    </w:p>
  </w:footnote>
  <w:footnote w:id="2">
    <w:p w14:paraId="6083ABE3" w14:textId="0A3E28C1" w:rsidR="007D0154" w:rsidRPr="00461E2A" w:rsidRDefault="007D0154" w:rsidP="007D015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F12E5E">
        <w:rPr>
          <w:rFonts w:ascii="Tahoma" w:hAnsi="Tahoma" w:cs="Tahoma"/>
          <w:sz w:val="18"/>
          <w:szCs w:val="18"/>
          <w:lang w:val="sr-Cyrl-RS"/>
        </w:rPr>
        <w:t>Н</w:t>
      </w:r>
      <w:proofErr w:type="spellStart"/>
      <w:r w:rsidRPr="00F05998">
        <w:rPr>
          <w:rFonts w:ascii="Tahoma" w:hAnsi="Tahoma" w:cs="Tahoma"/>
          <w:sz w:val="18"/>
          <w:szCs w:val="18"/>
        </w:rPr>
        <w:t>азив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програма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 xml:space="preserve">, односно шифрирање је </w:t>
      </w:r>
      <w:r w:rsidRPr="00F05998">
        <w:rPr>
          <w:rFonts w:ascii="Tahoma" w:hAnsi="Tahoma" w:cs="Tahoma"/>
          <w:sz w:val="18"/>
          <w:szCs w:val="18"/>
        </w:rPr>
        <w:t xml:space="preserve">у </w:t>
      </w:r>
      <w:proofErr w:type="spellStart"/>
      <w:r w:rsidRPr="00F05998">
        <w:rPr>
          <w:rFonts w:ascii="Tahoma" w:hAnsi="Tahoma" w:cs="Tahoma"/>
          <w:sz w:val="18"/>
          <w:szCs w:val="18"/>
        </w:rPr>
        <w:t>складу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униформном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програмском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структуром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05998">
        <w:rPr>
          <w:rFonts w:ascii="Tahoma" w:hAnsi="Tahoma" w:cs="Tahoma"/>
          <w:sz w:val="18"/>
          <w:szCs w:val="18"/>
        </w:rPr>
        <w:t>буџета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ЈЛС </w:t>
      </w:r>
      <w:proofErr w:type="spellStart"/>
      <w:r w:rsidRPr="00F05998">
        <w:rPr>
          <w:rFonts w:ascii="Tahoma" w:hAnsi="Tahoma" w:cs="Tahoma"/>
          <w:sz w:val="18"/>
          <w:szCs w:val="18"/>
        </w:rPr>
        <w:t>утврђеном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за </w:t>
      </w:r>
      <w:proofErr w:type="spellStart"/>
      <w:r w:rsidRPr="00F05998">
        <w:rPr>
          <w:rFonts w:ascii="Tahoma" w:hAnsi="Tahoma" w:cs="Tahoma"/>
          <w:sz w:val="18"/>
          <w:szCs w:val="18"/>
        </w:rPr>
        <w:t>буџет</w:t>
      </w:r>
      <w:proofErr w:type="spellEnd"/>
      <w:r w:rsidRPr="00F05998">
        <w:rPr>
          <w:rFonts w:ascii="Tahoma" w:hAnsi="Tahoma" w:cs="Tahoma"/>
          <w:sz w:val="18"/>
          <w:szCs w:val="18"/>
        </w:rPr>
        <w:t xml:space="preserve"> 20</w:t>
      </w:r>
      <w:r w:rsidRPr="00F05998">
        <w:rPr>
          <w:rFonts w:ascii="Tahoma" w:hAnsi="Tahoma" w:cs="Tahoma"/>
          <w:sz w:val="18"/>
          <w:szCs w:val="18"/>
          <w:lang w:val="sr-Cyrl-RS"/>
        </w:rPr>
        <w:t>23</w:t>
      </w:r>
      <w:r w:rsidRPr="00F05998">
        <w:rPr>
          <w:rFonts w:ascii="Tahoma" w:hAnsi="Tahoma" w:cs="Tahoma"/>
          <w:sz w:val="18"/>
          <w:szCs w:val="18"/>
        </w:rPr>
        <w:t xml:space="preserve">. </w:t>
      </w:r>
      <w:proofErr w:type="spellStart"/>
      <w:r w:rsidRPr="00F05998">
        <w:rPr>
          <w:rFonts w:ascii="Tahoma" w:hAnsi="Tahoma" w:cs="Tahoma"/>
          <w:sz w:val="18"/>
          <w:szCs w:val="18"/>
        </w:rPr>
        <w:t>године</w:t>
      </w:r>
      <w:proofErr w:type="spellEnd"/>
      <w:r w:rsidRPr="00F05998">
        <w:rPr>
          <w:rFonts w:ascii="Tahoma" w:hAnsi="Tahoma" w:cs="Tahoma"/>
          <w:sz w:val="18"/>
          <w:szCs w:val="18"/>
          <w:lang w:val="sr-Cyrl-RS"/>
        </w:rPr>
        <w:t xml:space="preserve"> (ускладити уколико буде измена у прописаној структури за 2024. годину).</w:t>
      </w:r>
    </w:p>
  </w:footnote>
  <w:footnote w:id="3">
    <w:p w14:paraId="3665FD61" w14:textId="77777777" w:rsidR="007D0154" w:rsidRPr="00E24AAC" w:rsidRDefault="007D0154" w:rsidP="007D0154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D70D7D">
        <w:rPr>
          <w:rFonts w:ascii="Tahoma" w:hAnsi="Tahoma" w:cs="Tahoma"/>
          <w:sz w:val="18"/>
          <w:szCs w:val="18"/>
          <w:lang w:val="sr-Cyrl-RS"/>
        </w:rPr>
        <w:t xml:space="preserve">Усвојена у октобру 2021. године, доступна на: </w:t>
      </w:r>
      <w:hyperlink r:id="rId1" w:history="1">
        <w:r w:rsidRPr="00D70D7D">
          <w:rPr>
            <w:rStyle w:val="Hyperlink"/>
            <w:rFonts w:ascii="Tahoma" w:hAnsi="Tahoma" w:cs="Tahoma"/>
            <w:sz w:val="18"/>
            <w:szCs w:val="18"/>
            <w:lang w:val="sr-Cyrl-RS"/>
          </w:rPr>
          <w:t>https://www.rodnaravnopravnost.gov.rs/sr/dokumenti/strategije-i-akcioni-planovi/nacionalna-strategija-za-rodnu-ravnopravnost-za-period-2021</w:t>
        </w:r>
      </w:hyperlink>
      <w:r w:rsidRPr="00D70D7D">
        <w:rPr>
          <w:rFonts w:ascii="Tahoma" w:hAnsi="Tahoma" w:cs="Tahoma"/>
          <w:sz w:val="18"/>
          <w:szCs w:val="18"/>
          <w:lang w:val="sr-Cyrl-RS"/>
        </w:rPr>
        <w:t xml:space="preserve"> Пратећи Акциони план уз Стратегију доступан је за период 2022-2023, на: </w:t>
      </w:r>
      <w:hyperlink r:id="rId2" w:history="1">
        <w:r w:rsidRPr="00D70D7D">
          <w:rPr>
            <w:rStyle w:val="Hyperlink"/>
            <w:rFonts w:ascii="Tahoma" w:hAnsi="Tahoma" w:cs="Tahoma"/>
            <w:sz w:val="18"/>
            <w:szCs w:val="18"/>
            <w:lang w:val="sr-Cyrl-RS"/>
          </w:rPr>
          <w:t>https://www.rodnaravnopravnost.gov.rs/sr/dokumenti/strategije-i-akcioni-planovi/akcioni-plan-za-period-od-2022-2023-godine-za-sprovodenje</w:t>
        </w:r>
      </w:hyperlink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F789" w14:textId="77777777" w:rsidR="001C1043" w:rsidRDefault="001C1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A6D3" w14:textId="77777777" w:rsidR="001C1043" w:rsidRDefault="001C1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4B7D" w14:textId="133892A9" w:rsidR="00B13BF4" w:rsidRDefault="00062B1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5F22DA" wp14:editId="655001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508400"/>
          <wp:effectExtent l="0" t="0" r="190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2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3D"/>
    <w:rsid w:val="00017F60"/>
    <w:rsid w:val="00044968"/>
    <w:rsid w:val="00062B16"/>
    <w:rsid w:val="0006347A"/>
    <w:rsid w:val="00091387"/>
    <w:rsid w:val="00124D4B"/>
    <w:rsid w:val="001C1043"/>
    <w:rsid w:val="001C5667"/>
    <w:rsid w:val="002256A2"/>
    <w:rsid w:val="002700C9"/>
    <w:rsid w:val="0034311B"/>
    <w:rsid w:val="00393271"/>
    <w:rsid w:val="004040BC"/>
    <w:rsid w:val="0043563C"/>
    <w:rsid w:val="00445ED9"/>
    <w:rsid w:val="00591C39"/>
    <w:rsid w:val="005B1977"/>
    <w:rsid w:val="005F61DF"/>
    <w:rsid w:val="006849B6"/>
    <w:rsid w:val="0070415F"/>
    <w:rsid w:val="007D0154"/>
    <w:rsid w:val="007E527C"/>
    <w:rsid w:val="008137C0"/>
    <w:rsid w:val="008960F4"/>
    <w:rsid w:val="00952EFB"/>
    <w:rsid w:val="00A724E8"/>
    <w:rsid w:val="00B04426"/>
    <w:rsid w:val="00B13BF4"/>
    <w:rsid w:val="00B266A9"/>
    <w:rsid w:val="00B439A6"/>
    <w:rsid w:val="00BA1BD7"/>
    <w:rsid w:val="00C37433"/>
    <w:rsid w:val="00C76BB7"/>
    <w:rsid w:val="00C876BE"/>
    <w:rsid w:val="00CA1EBF"/>
    <w:rsid w:val="00CC0E3D"/>
    <w:rsid w:val="00CD2D0A"/>
    <w:rsid w:val="00CD30CE"/>
    <w:rsid w:val="00D1397A"/>
    <w:rsid w:val="00D97CDB"/>
    <w:rsid w:val="00F12E5E"/>
    <w:rsid w:val="00F22D19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9DCFD"/>
  <w15:chartTrackingRefBased/>
  <w15:docId w15:val="{10844DA7-6265-DB4F-8F6D-4A0EB4C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r-Cyrl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E3D"/>
  </w:style>
  <w:style w:type="paragraph" w:styleId="Footer">
    <w:name w:val="footer"/>
    <w:basedOn w:val="Normal"/>
    <w:link w:val="FooterChar"/>
    <w:uiPriority w:val="99"/>
    <w:unhideWhenUsed/>
    <w:rsid w:val="00CC0E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E3D"/>
  </w:style>
  <w:style w:type="character" w:styleId="Hyperlink">
    <w:name w:val="Hyperlink"/>
    <w:rsid w:val="007D015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D01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D01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D0154"/>
    <w:rPr>
      <w:vertAlign w:val="superscript"/>
    </w:rPr>
  </w:style>
  <w:style w:type="paragraph" w:styleId="Revision">
    <w:name w:val="Revision"/>
    <w:hidden/>
    <w:uiPriority w:val="99"/>
    <w:semiHidden/>
    <w:rsid w:val="00F12E5E"/>
  </w:style>
  <w:style w:type="paragraph" w:customStyle="1" w:styleId="Default">
    <w:name w:val="Default"/>
    <w:rsid w:val="00F12E5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odnaravnopravnost.gov.rs/sr/dokumenti/strategije-i-akcioni-planovi/akcioni-plan-za-period-od-2022-2023-godine-za-sprovodenje" TargetMode="External"/><Relationship Id="rId1" Type="http://schemas.openxmlformats.org/officeDocument/2006/relationships/hyperlink" Target="https://www.rodnaravnopravnost.gov.rs/sr/dokumenti/strategije-i-akcioni-planovi/nacionalna-strategija-za-rodnu-ravnopravnost-za-period-202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4F93304EF47428C4C165DE8823F0B" ma:contentTypeVersion="14" ma:contentTypeDescription="Create a new document." ma:contentTypeScope="" ma:versionID="82e0ff481c83193da91db4d854689f1b">
  <xsd:schema xmlns:xsd="http://www.w3.org/2001/XMLSchema" xmlns:xs="http://www.w3.org/2001/XMLSchema" xmlns:p="http://schemas.microsoft.com/office/2006/metadata/properties" xmlns:ns2="10105a3f-9bbf-4063-9264-0130991ecce7" xmlns:ns3="4a1e31c7-9c5a-4c81-b8f0-f400ab8f1618" targetNamespace="http://schemas.microsoft.com/office/2006/metadata/properties" ma:root="true" ma:fieldsID="2ec336ec888fb949ec2f1e9aa2256c61" ns2:_="" ns3:_="">
    <xsd:import namespace="10105a3f-9bbf-4063-9264-0130991ecce7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05a3f-9bbf-4063-9264-0130991ec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8960ee-21ab-4139-8475-78220888a155}" ma:internalName="TaxCatchAll" ma:showField="CatchAllData" ma:web="4a1e31c7-9c5a-4c81-b8f0-f400ab8f1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105a3f-9bbf-4063-9264-0130991ecce7">
      <Terms xmlns="http://schemas.microsoft.com/office/infopath/2007/PartnerControls"/>
    </lcf76f155ced4ddcb4097134ff3c332f>
    <TaxCatchAll xmlns="4a1e31c7-9c5a-4c81-b8f0-f400ab8f1618" xsi:nil="true"/>
  </documentManagement>
</p:properties>
</file>

<file path=customXml/itemProps1.xml><?xml version="1.0" encoding="utf-8"?>
<ds:datastoreItem xmlns:ds="http://schemas.openxmlformats.org/officeDocument/2006/customXml" ds:itemID="{AB2601AB-9998-408A-8AEB-6DE56F04F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5E48-7F3B-4F1D-894F-0793E7C6F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05a3f-9bbf-4063-9264-0130991ecce7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69074-7527-46F9-9E69-21AA71EA04C7}">
  <ds:schemaRefs>
    <ds:schemaRef ds:uri="http://schemas.microsoft.com/office/2006/metadata/properties"/>
    <ds:schemaRef ds:uri="http://schemas.microsoft.com/office/infopath/2007/PartnerControls"/>
    <ds:schemaRef ds:uri="10105a3f-9bbf-4063-9264-0130991ecce7"/>
    <ds:schemaRef ds:uri="4a1e31c7-9c5a-4c81-b8f0-f400ab8f1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Mihailović</dc:creator>
  <cp:keywords/>
  <dc:description/>
  <cp:lastModifiedBy>Milena Radomirovic</cp:lastModifiedBy>
  <cp:revision>3</cp:revision>
  <dcterms:created xsi:type="dcterms:W3CDTF">2023-08-17T14:08:00Z</dcterms:created>
  <dcterms:modified xsi:type="dcterms:W3CDTF">2023-08-17T16:12:00Z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0x0101004714F93304EF47428C4C165DE8823F0B</vt:lpwstr>
  </property>
  <property fmtid="{D5CDD505-2E9C-101B-9397-08002B2CF9AE}" pid="3" name="MediaServiceImageTags">
    <vt:lpwstr/>
  </property>
</Properties>
</file>