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7CC9" w14:textId="3A118FE6" w:rsidR="00976C4F" w:rsidRDefault="00295F54" w:rsidP="00295F54">
      <w:pPr>
        <w:jc w:val="center"/>
        <w:rPr>
          <w:b/>
          <w:bCs/>
          <w:color w:val="0E3D8A"/>
          <w:lang w:val="sr-Cyrl-RS"/>
        </w:rPr>
      </w:pPr>
      <w:r>
        <w:rPr>
          <w:b/>
          <w:bCs/>
          <w:color w:val="0E3D8A"/>
          <w:lang w:val="en-GB"/>
        </w:rPr>
        <w:t xml:space="preserve">    </w:t>
      </w:r>
      <w:r w:rsidR="00215AFA">
        <w:rPr>
          <w:b/>
          <w:bCs/>
          <w:color w:val="0E3D8A"/>
          <w:lang w:val="sr-Cyrl-RS"/>
        </w:rPr>
        <w:t>Управљање људским ресурсима у локалној самоуправи – фаза 2</w:t>
      </w:r>
    </w:p>
    <w:p w14:paraId="7B6BF5C1" w14:textId="5D7B54EF" w:rsidR="00295F54" w:rsidRDefault="00046AF7" w:rsidP="00046AF7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5F762ED0" wp14:editId="28C33179">
            <wp:extent cx="4608000" cy="1240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colo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124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2888" w14:textId="3C6F89BD" w:rsidR="00295F54" w:rsidRPr="00295F54" w:rsidRDefault="00295F54" w:rsidP="00154BCD">
      <w:pPr>
        <w:rPr>
          <w:b/>
          <w:bCs/>
        </w:rPr>
      </w:pPr>
    </w:p>
    <w:p w14:paraId="1FE3271F" w14:textId="04FFBE41" w:rsidR="00BE5B28" w:rsidRPr="00547C5F" w:rsidRDefault="0038563A" w:rsidP="00BE5B28">
      <w:pPr>
        <w:jc w:val="center"/>
        <w:rPr>
          <w:lang w:val="sr-Cyrl-RS"/>
        </w:rPr>
      </w:pPr>
      <w:r>
        <w:rPr>
          <w:b/>
          <w:bCs/>
          <w:lang w:val="sr-Cyrl-RS"/>
        </w:rPr>
        <w:t>Техничка</w:t>
      </w:r>
      <w:r w:rsidR="00BE5B28" w:rsidRPr="00645829">
        <w:rPr>
          <w:b/>
          <w:bCs/>
        </w:rPr>
        <w:t xml:space="preserve"> подршк</w:t>
      </w:r>
      <w:r>
        <w:rPr>
          <w:b/>
          <w:bCs/>
          <w:lang w:val="sr-Cyrl-RS"/>
        </w:rPr>
        <w:t>а</w:t>
      </w:r>
      <w:r w:rsidR="00BE5B28" w:rsidRPr="00645829"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градским, </w:t>
      </w:r>
      <w:r w:rsidR="00BE5B28" w:rsidRPr="00645829">
        <w:rPr>
          <w:b/>
          <w:bCs/>
        </w:rPr>
        <w:t>општинским и управама</w:t>
      </w:r>
      <w:r>
        <w:rPr>
          <w:b/>
          <w:bCs/>
          <w:lang w:val="sr-Cyrl-RS"/>
        </w:rPr>
        <w:t xml:space="preserve"> градских општина</w:t>
      </w:r>
    </w:p>
    <w:p w14:paraId="6860A228" w14:textId="77777777" w:rsidR="00BE5B28" w:rsidRPr="00645829" w:rsidRDefault="00BE5B28" w:rsidP="00BE5B28">
      <w:pPr>
        <w:jc w:val="center"/>
      </w:pPr>
      <w:r w:rsidRPr="00645829">
        <w:rPr>
          <w:b/>
          <w:bCs/>
        </w:rPr>
        <w:t>- Позив за подношење пријава  -</w:t>
      </w:r>
    </w:p>
    <w:p w14:paraId="238DAC4F" w14:textId="77777777" w:rsidR="00940C37" w:rsidRPr="000408EC" w:rsidRDefault="00BE5B28" w:rsidP="00940C37">
      <w:r w:rsidRPr="00645829">
        <w:rPr>
          <w:b/>
          <w:bCs/>
        </w:rPr>
        <w:t> </w:t>
      </w:r>
    </w:p>
    <w:p w14:paraId="2C8C6391" w14:textId="77777777" w:rsidR="006651A8" w:rsidRPr="00645829" w:rsidRDefault="006651A8" w:rsidP="006651A8">
      <w:pPr>
        <w:jc w:val="both"/>
      </w:pPr>
      <w:r w:rsidRPr="00645829">
        <w:t xml:space="preserve">У склопу реализације </w:t>
      </w:r>
      <w:r>
        <w:t xml:space="preserve">друге фазе </w:t>
      </w:r>
      <w:r w:rsidRPr="00645829">
        <w:t>пројекта</w:t>
      </w:r>
      <w:r w:rsidRPr="00645829">
        <w:rPr>
          <w:i/>
          <w:iCs/>
        </w:rPr>
        <w:t xml:space="preserve"> Управљање људским ресурсима у локалној самоуправи</w:t>
      </w:r>
      <w:r w:rsidRPr="00645829">
        <w:t>, који спроводи Савет Европе у сарадњи са Минист</w:t>
      </w:r>
      <w:r>
        <w:t>арством државне управе и локалне</w:t>
      </w:r>
      <w:r w:rsidRPr="00645829">
        <w:t xml:space="preserve"> самоуправе и Сталном конференцијом градова и општина,</w:t>
      </w:r>
      <w:r>
        <w:rPr>
          <w:lang w:val="sr-Cyrl-RS"/>
        </w:rPr>
        <w:t xml:space="preserve"> </w:t>
      </w:r>
      <w:r>
        <w:t>а заједнички финансирају</w:t>
      </w:r>
      <w:r w:rsidRPr="00645829">
        <w:t xml:space="preserve"> </w:t>
      </w:r>
      <w:r>
        <w:t>Европска унија</w:t>
      </w:r>
      <w:r w:rsidRPr="00645829">
        <w:t xml:space="preserve"> и Савет Европе, расписује се:</w:t>
      </w:r>
    </w:p>
    <w:p w14:paraId="3D5676D0" w14:textId="1CE85CC0" w:rsidR="00BE5B28" w:rsidRPr="00645829" w:rsidRDefault="00BE5B28" w:rsidP="00CE7A41">
      <w:pPr>
        <w:contextualSpacing/>
        <w:jc w:val="both"/>
        <w:rPr>
          <w:sz w:val="14"/>
        </w:rPr>
      </w:pPr>
    </w:p>
    <w:p w14:paraId="7DAB00E3" w14:textId="557DCF34" w:rsidR="00EB5FF5" w:rsidRPr="00EB5FF5" w:rsidRDefault="00BE5B28" w:rsidP="00EB5FF5">
      <w:pPr>
        <w:contextualSpacing/>
        <w:jc w:val="center"/>
        <w:rPr>
          <w:b/>
          <w:bCs/>
          <w:lang w:val="sr-Cyrl-RS"/>
        </w:rPr>
      </w:pPr>
      <w:r w:rsidRPr="00EB5FF5">
        <w:rPr>
          <w:b/>
          <w:bCs/>
        </w:rPr>
        <w:t xml:space="preserve">Позив за подношење пријава за реализацију </w:t>
      </w:r>
      <w:r w:rsidR="0038563A" w:rsidRPr="00EB5FF5">
        <w:rPr>
          <w:b/>
          <w:bCs/>
          <w:lang w:val="sr-Cyrl-RS"/>
        </w:rPr>
        <w:t>техничке</w:t>
      </w:r>
      <w:r w:rsidRPr="00EB5FF5">
        <w:rPr>
          <w:b/>
          <w:bCs/>
        </w:rPr>
        <w:t xml:space="preserve"> подршке </w:t>
      </w:r>
      <w:r w:rsidR="00785619" w:rsidRPr="00EB5FF5">
        <w:rPr>
          <w:b/>
          <w:bCs/>
        </w:rPr>
        <w:t xml:space="preserve">у </w:t>
      </w:r>
      <w:r w:rsidR="0038563A" w:rsidRPr="00EB5FF5">
        <w:rPr>
          <w:b/>
          <w:bCs/>
          <w:lang w:val="sr-Cyrl-RS"/>
        </w:rPr>
        <w:t>5</w:t>
      </w:r>
      <w:r w:rsidR="00785619" w:rsidRPr="00EB5FF5">
        <w:rPr>
          <w:b/>
          <w:bCs/>
        </w:rPr>
        <w:t>0</w:t>
      </w:r>
      <w:r w:rsidR="00907383" w:rsidRPr="00EB5FF5">
        <w:rPr>
          <w:b/>
          <w:bCs/>
        </w:rPr>
        <w:t xml:space="preserve"> пилот градова</w:t>
      </w:r>
      <w:r w:rsidR="0005476C" w:rsidRPr="00EB5FF5">
        <w:rPr>
          <w:b/>
          <w:bCs/>
        </w:rPr>
        <w:t>,</w:t>
      </w:r>
      <w:r w:rsidR="00907383" w:rsidRPr="00EB5FF5">
        <w:rPr>
          <w:b/>
          <w:bCs/>
        </w:rPr>
        <w:t xml:space="preserve"> општина и градских општина</w:t>
      </w:r>
      <w:r w:rsidRPr="00EB5FF5">
        <w:rPr>
          <w:b/>
          <w:bCs/>
        </w:rPr>
        <w:t xml:space="preserve"> за </w:t>
      </w:r>
      <w:r w:rsidR="009275E6" w:rsidRPr="00EB5FF5">
        <w:rPr>
          <w:b/>
          <w:bCs/>
          <w:lang w:val="sr-Cyrl-RS"/>
        </w:rPr>
        <w:t>израду</w:t>
      </w:r>
      <w:r w:rsidR="00767EE4">
        <w:rPr>
          <w:b/>
          <w:bCs/>
          <w:lang w:val="sr-Latn-RS"/>
        </w:rPr>
        <w:t xml:space="preserve"> </w:t>
      </w:r>
      <w:r w:rsidR="00BE4FA4">
        <w:rPr>
          <w:b/>
          <w:bCs/>
          <w:lang w:val="sr-Cyrl-RS"/>
        </w:rPr>
        <w:t>П</w:t>
      </w:r>
      <w:r w:rsidR="00EE1D84">
        <w:rPr>
          <w:b/>
          <w:bCs/>
          <w:lang w:val="sr-Cyrl-RS"/>
        </w:rPr>
        <w:t xml:space="preserve">осебног програма стручног усавршавања </w:t>
      </w:r>
      <w:r w:rsidR="00BE4FA4">
        <w:rPr>
          <w:b/>
          <w:bCs/>
          <w:lang w:val="sr-Cyrl-RS"/>
        </w:rPr>
        <w:t xml:space="preserve">и </w:t>
      </w:r>
      <w:proofErr w:type="spellStart"/>
      <w:r w:rsidR="009275E6" w:rsidRPr="00EB5FF5">
        <w:rPr>
          <w:b/>
          <w:bCs/>
          <w:lang w:val="sr-Cyrl-RS"/>
        </w:rPr>
        <w:t>Обједињеног</w:t>
      </w:r>
      <w:proofErr w:type="spellEnd"/>
      <w:r w:rsidR="009275E6" w:rsidRPr="00EB5FF5">
        <w:rPr>
          <w:b/>
          <w:bCs/>
          <w:lang w:val="sr-Cyrl-RS"/>
        </w:rPr>
        <w:t xml:space="preserve"> годишњег плана стручног усавршавања запослених у локалној самоуправи</w:t>
      </w:r>
    </w:p>
    <w:p w14:paraId="6015E5DE" w14:textId="77777777" w:rsidR="00EB5FF5" w:rsidRDefault="00EB5FF5" w:rsidP="00CE7A41">
      <w:pPr>
        <w:contextualSpacing/>
        <w:jc w:val="both"/>
        <w:rPr>
          <w:lang w:val="sr-Cyrl-RS"/>
        </w:rPr>
      </w:pPr>
    </w:p>
    <w:p w14:paraId="47584836" w14:textId="13A12C49" w:rsidR="00001B47" w:rsidRPr="00547C5F" w:rsidRDefault="00001B47" w:rsidP="00001B47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Пројектом ће бити обезбеђена подршка за </w:t>
      </w:r>
      <w:r w:rsidRPr="00B04453">
        <w:rPr>
          <w:lang w:val="sr-Cyrl-RS"/>
        </w:rPr>
        <w:t>израду Посебног програма стручног усавршава</w:t>
      </w:r>
      <w:r>
        <w:rPr>
          <w:lang w:val="sr-Cyrl-RS"/>
        </w:rPr>
        <w:t>њ</w:t>
      </w:r>
      <w:r w:rsidRPr="00B04453">
        <w:rPr>
          <w:lang w:val="sr-Cyrl-RS"/>
        </w:rPr>
        <w:t>а и</w:t>
      </w:r>
      <w:r w:rsidRPr="00DD3C00">
        <w:rPr>
          <w:lang w:val="sr-Cyrl-RS"/>
        </w:rPr>
        <w:t xml:space="preserve"> </w:t>
      </w:r>
      <w:proofErr w:type="spellStart"/>
      <w:r w:rsidRPr="00DD3C00">
        <w:rPr>
          <w:lang w:val="sr-Cyrl-RS"/>
        </w:rPr>
        <w:t>Обједињеног</w:t>
      </w:r>
      <w:proofErr w:type="spellEnd"/>
      <w:r w:rsidRPr="00DD3C00">
        <w:rPr>
          <w:lang w:val="sr-Cyrl-RS"/>
        </w:rPr>
        <w:t xml:space="preserve"> годишњег плана</w:t>
      </w:r>
      <w:r w:rsidR="006872FD" w:rsidRPr="006872FD">
        <w:rPr>
          <w:lang w:val="sr-Cyrl-RS"/>
        </w:rPr>
        <w:t xml:space="preserve"> </w:t>
      </w:r>
      <w:r w:rsidR="006872FD">
        <w:rPr>
          <w:lang w:val="sr-Cyrl-RS"/>
        </w:rPr>
        <w:t>з</w:t>
      </w:r>
      <w:r w:rsidR="006872FD" w:rsidRPr="00B04453">
        <w:rPr>
          <w:lang w:val="sr-Cyrl-RS"/>
        </w:rPr>
        <w:t>апослених у ЛС</w:t>
      </w:r>
      <w:r w:rsidRPr="00DD3C00">
        <w:rPr>
          <w:lang w:val="sr-Cyrl-RS"/>
        </w:rPr>
        <w:t>, што подразумева континуирану подршку у свим корацима неопходним у првој години</w:t>
      </w:r>
      <w:r w:rsidRPr="00547C5F">
        <w:rPr>
          <w:lang w:val="sr-Cyrl-RS"/>
        </w:rPr>
        <w:t xml:space="preserve"> циклуса </w:t>
      </w:r>
      <w:r>
        <w:rPr>
          <w:lang w:val="sr-Cyrl-RS"/>
        </w:rPr>
        <w:t>стручног усавршавања (</w:t>
      </w:r>
      <w:r w:rsidRPr="00547C5F">
        <w:rPr>
          <w:lang w:val="sr-Cyrl-RS"/>
        </w:rPr>
        <w:t>СУ</w:t>
      </w:r>
      <w:r>
        <w:rPr>
          <w:lang w:val="sr-Cyrl-RS"/>
        </w:rPr>
        <w:t>)</w:t>
      </w:r>
      <w:r w:rsidRPr="00547C5F">
        <w:rPr>
          <w:lang w:val="sr-Cyrl-RS"/>
        </w:rPr>
        <w:t>, у којој се на систематичан начин планирају обуке запослених за наредну годину, када ће бити и реализоване</w:t>
      </w:r>
      <w:r>
        <w:rPr>
          <w:lang w:val="sr-Cyrl-RS"/>
        </w:rPr>
        <w:t xml:space="preserve">, што ће значајно допринети </w:t>
      </w:r>
      <w:r w:rsidRPr="00547C5F">
        <w:t>унапређењ</w:t>
      </w:r>
      <w:r>
        <w:rPr>
          <w:lang w:val="sr-Cyrl-RS"/>
        </w:rPr>
        <w:t>у</w:t>
      </w:r>
      <w:r w:rsidRPr="00547C5F">
        <w:t xml:space="preserve"> </w:t>
      </w:r>
      <w:r w:rsidRPr="00547C5F">
        <w:rPr>
          <w:lang w:val="sr-Cyrl-RS"/>
        </w:rPr>
        <w:t>процеса</w:t>
      </w:r>
      <w:r w:rsidRPr="00547C5F">
        <w:t xml:space="preserve"> </w:t>
      </w:r>
      <w:r w:rsidRPr="00547C5F">
        <w:rPr>
          <w:lang w:val="sr-Cyrl-RS"/>
        </w:rPr>
        <w:t>стручног усавршавања</w:t>
      </w:r>
      <w:r>
        <w:rPr>
          <w:lang w:val="sr-Latn-RS"/>
        </w:rPr>
        <w:t xml:space="preserve"> (C</w:t>
      </w:r>
      <w:r>
        <w:rPr>
          <w:lang w:val="sr-Cyrl-RS"/>
        </w:rPr>
        <w:t>У</w:t>
      </w:r>
      <w:r>
        <w:rPr>
          <w:lang w:val="sr-Latn-RS"/>
        </w:rPr>
        <w:t>)</w:t>
      </w:r>
      <w:r>
        <w:rPr>
          <w:lang w:val="sr-Cyrl-RS"/>
        </w:rPr>
        <w:t>.</w:t>
      </w:r>
      <w:r w:rsidRPr="00547C5F">
        <w:rPr>
          <w:lang w:val="sr-Cyrl-RS"/>
        </w:rPr>
        <w:t xml:space="preserve"> Активности у којима је планирана техничка подршка кроз сарадњу са е</w:t>
      </w:r>
      <w:r w:rsidR="000F7F7C">
        <w:rPr>
          <w:lang w:val="sr-Cyrl-RS"/>
        </w:rPr>
        <w:t>к</w:t>
      </w:r>
      <w:bookmarkStart w:id="0" w:name="_GoBack"/>
      <w:bookmarkEnd w:id="0"/>
      <w:r w:rsidRPr="00547C5F">
        <w:rPr>
          <w:lang w:val="sr-Cyrl-RS"/>
        </w:rPr>
        <w:t xml:space="preserve">спертима су: утврђивање потреба за СУ и израда извештаја о спроведеној анализи потреба, израда Посебног програма СУ, израда </w:t>
      </w:r>
      <w:proofErr w:type="spellStart"/>
      <w:r w:rsidRPr="00547C5F">
        <w:rPr>
          <w:lang w:val="sr-Cyrl-RS"/>
        </w:rPr>
        <w:t>Обједињеног</w:t>
      </w:r>
      <w:proofErr w:type="spellEnd"/>
      <w:r w:rsidRPr="00547C5F">
        <w:rPr>
          <w:lang w:val="sr-Cyrl-RS"/>
        </w:rPr>
        <w:t xml:space="preserve"> годишњег плана СУ и подршка у планирању и реализацији набавке услуга СУ за наредну годину.</w:t>
      </w:r>
    </w:p>
    <w:p w14:paraId="08661449" w14:textId="193B01C7" w:rsidR="00BE5B28" w:rsidRDefault="00BE5B28" w:rsidP="00CE7A41">
      <w:pPr>
        <w:contextualSpacing/>
        <w:jc w:val="both"/>
        <w:rPr>
          <w:sz w:val="16"/>
          <w:lang w:val="sr-Latn-RS"/>
        </w:rPr>
      </w:pPr>
    </w:p>
    <w:p w14:paraId="21BC139F" w14:textId="2BDD519C" w:rsidR="00C90E90" w:rsidRPr="00DD3C00" w:rsidRDefault="00C90E90" w:rsidP="00C90E90">
      <w:pPr>
        <w:contextualSpacing/>
        <w:jc w:val="both"/>
        <w:rPr>
          <w:sz w:val="16"/>
          <w:lang w:val="sr-Cyrl-RS"/>
        </w:rPr>
      </w:pPr>
      <w:r w:rsidRPr="00DD3C00">
        <w:t xml:space="preserve">Право на учешће у позиву за подношење пријава имају заинтересовани </w:t>
      </w:r>
      <w:r w:rsidRPr="00B04453">
        <w:t>градови, општине и градске општине</w:t>
      </w:r>
      <w:r w:rsidRPr="00DD3C00">
        <w:t xml:space="preserve"> у Републици Србији</w:t>
      </w:r>
      <w:r w:rsidRPr="00B04453">
        <w:rPr>
          <w:lang w:val="en-GB"/>
        </w:rPr>
        <w:t xml:space="preserve">, </w:t>
      </w:r>
      <w:r w:rsidRPr="00C90E90">
        <w:rPr>
          <w:b/>
          <w:bCs/>
          <w:lang w:val="sr-Cyrl-RS"/>
        </w:rPr>
        <w:t xml:space="preserve">изузев градова, општина и градских општина у којима се у оквиру овог истог пројекта, реализују пакети подршке у области управљања људским ресурсима, </w:t>
      </w:r>
      <w:r w:rsidRPr="00B04453">
        <w:rPr>
          <w:lang w:val="sr-Cyrl-RS"/>
        </w:rPr>
        <w:t xml:space="preserve">имајући у виду да је подршка за израду Посебног програма стручног усавршавања и </w:t>
      </w:r>
      <w:proofErr w:type="spellStart"/>
      <w:r w:rsidRPr="00B04453">
        <w:rPr>
          <w:lang w:val="sr-Cyrl-RS"/>
        </w:rPr>
        <w:t>Обједињеног</w:t>
      </w:r>
      <w:proofErr w:type="spellEnd"/>
      <w:r w:rsidRPr="00B04453">
        <w:rPr>
          <w:lang w:val="sr-Cyrl-RS"/>
        </w:rPr>
        <w:t xml:space="preserve"> плана стручног усавршавања запослених у </w:t>
      </w:r>
      <w:r w:rsidR="006872FD">
        <w:rPr>
          <w:lang w:val="sr-Cyrl-RS"/>
        </w:rPr>
        <w:t>ЛС</w:t>
      </w:r>
      <w:r w:rsidRPr="00B04453">
        <w:rPr>
          <w:lang w:val="sr-Cyrl-RS"/>
        </w:rPr>
        <w:t xml:space="preserve"> предвиђена у оквиру реализације пакета подршке</w:t>
      </w:r>
      <w:r w:rsidRPr="00DD3C00">
        <w:t>. Подршка ће бити омогућена за укупно 50 локалн</w:t>
      </w:r>
      <w:r w:rsidRPr="00DD3C00">
        <w:rPr>
          <w:lang w:val="sr-Cyrl-RS"/>
        </w:rPr>
        <w:t>и</w:t>
      </w:r>
      <w:r w:rsidRPr="00DD3C00">
        <w:t>х самоуправа, кој</w:t>
      </w:r>
      <w:r w:rsidRPr="00DD3C00">
        <w:rPr>
          <w:lang w:val="sr-Cyrl-RS"/>
        </w:rPr>
        <w:t>е</w:t>
      </w:r>
      <w:r w:rsidRPr="00DD3C00">
        <w:t xml:space="preserve"> ће  бити одабран</w:t>
      </w:r>
      <w:r w:rsidRPr="00DD3C00">
        <w:rPr>
          <w:lang w:val="sr-Cyrl-RS"/>
        </w:rPr>
        <w:t>е</w:t>
      </w:r>
      <w:r w:rsidRPr="00DD3C00">
        <w:t xml:space="preserve"> на основу оцене конкурсних пријава</w:t>
      </w:r>
      <w:r w:rsidRPr="00DD3C00">
        <w:rPr>
          <w:lang w:val="sr-Cyrl-RS"/>
        </w:rPr>
        <w:t>.</w:t>
      </w:r>
      <w:r w:rsidRPr="00DD3C00">
        <w:t xml:space="preserve"> </w:t>
      </w:r>
    </w:p>
    <w:p w14:paraId="201ADB47" w14:textId="322DEC8C" w:rsidR="00C3587F" w:rsidRDefault="00C3587F" w:rsidP="00CE7A41">
      <w:pPr>
        <w:contextualSpacing/>
        <w:jc w:val="both"/>
      </w:pPr>
    </w:p>
    <w:p w14:paraId="6D19C75C" w14:textId="1F185AD7" w:rsidR="005415A4" w:rsidRPr="00412AD7" w:rsidRDefault="0038563A" w:rsidP="00CE7A41">
      <w:pPr>
        <w:contextualSpacing/>
        <w:jc w:val="both"/>
      </w:pPr>
      <w:r>
        <w:rPr>
          <w:lang w:val="sr-Cyrl-RS"/>
        </w:rPr>
        <w:t>Техничка</w:t>
      </w:r>
      <w:r w:rsidR="00BE5B28" w:rsidRPr="00B729C7">
        <w:t xml:space="preserve"> подршк</w:t>
      </w:r>
      <w:r>
        <w:rPr>
          <w:lang w:val="sr-Cyrl-RS"/>
        </w:rPr>
        <w:t>а</w:t>
      </w:r>
      <w:r w:rsidR="00BE5B28" w:rsidRPr="00B729C7">
        <w:t xml:space="preserve"> </w:t>
      </w:r>
      <w:r>
        <w:rPr>
          <w:lang w:val="sr-Cyrl-RS"/>
        </w:rPr>
        <w:t>градским,</w:t>
      </w:r>
      <w:r w:rsidR="00BE5B28" w:rsidRPr="00B729C7">
        <w:t xml:space="preserve">општинским и управама </w:t>
      </w:r>
      <w:r>
        <w:rPr>
          <w:lang w:val="sr-Cyrl-RS"/>
        </w:rPr>
        <w:t xml:space="preserve">градских општина </w:t>
      </w:r>
      <w:r w:rsidR="00BE5B28" w:rsidRPr="00B729C7">
        <w:rPr>
          <w:b/>
          <w:bCs/>
        </w:rPr>
        <w:t>подразумева пружање ЕКСПЕРТСКЕ подршке и стручног знања</w:t>
      </w:r>
      <w:r w:rsidR="00BE5B28" w:rsidRPr="00B729C7">
        <w:t xml:space="preserve"> у кључним </w:t>
      </w:r>
      <w:r w:rsidR="002D1C52">
        <w:rPr>
          <w:lang w:val="sr-Cyrl-RS"/>
        </w:rPr>
        <w:t xml:space="preserve">корацима у планирању </w:t>
      </w:r>
      <w:r w:rsidR="00BE5B28" w:rsidRPr="00B729C7">
        <w:t xml:space="preserve"> </w:t>
      </w:r>
      <w:r>
        <w:rPr>
          <w:lang w:val="sr-Cyrl-RS"/>
        </w:rPr>
        <w:t>стручног усавршавања</w:t>
      </w:r>
      <w:r w:rsidR="00BE5B28" w:rsidRPr="00B729C7">
        <w:t xml:space="preserve"> у локалној управи</w:t>
      </w:r>
      <w:r w:rsidR="00C3587F" w:rsidRPr="00B729C7">
        <w:t>, у складу са Законом о запосленима у аутономним покрајинама и јединицама локалне самоуправе</w:t>
      </w:r>
      <w:r w:rsidR="002D1C52">
        <w:rPr>
          <w:lang w:val="sr-Cyrl-RS"/>
        </w:rPr>
        <w:t xml:space="preserve">, Законом о </w:t>
      </w:r>
      <w:r w:rsidR="006D310A">
        <w:rPr>
          <w:lang w:val="sr-Cyrl-RS"/>
        </w:rPr>
        <w:t>Н</w:t>
      </w:r>
      <w:r w:rsidR="002D1C52">
        <w:rPr>
          <w:lang w:val="sr-Cyrl-RS"/>
        </w:rPr>
        <w:t>ационалној академији за јавну управу</w:t>
      </w:r>
      <w:r w:rsidR="00BE1EBC" w:rsidRPr="00B729C7">
        <w:t xml:space="preserve"> и подзаконским актима релевантним за </w:t>
      </w:r>
      <w:r w:rsidR="00664D18" w:rsidRPr="00412AD7">
        <w:t>ову област.</w:t>
      </w:r>
      <w:r w:rsidR="00CC0C0E" w:rsidRPr="00412AD7">
        <w:t xml:space="preserve"> </w:t>
      </w:r>
    </w:p>
    <w:p w14:paraId="14183B54" w14:textId="77777777" w:rsidR="005415A4" w:rsidRDefault="005415A4" w:rsidP="00CE7A41">
      <w:pPr>
        <w:contextualSpacing/>
        <w:jc w:val="both"/>
        <w:rPr>
          <w:color w:val="FF0000"/>
        </w:rPr>
      </w:pPr>
    </w:p>
    <w:p w14:paraId="5426433B" w14:textId="51413D52" w:rsidR="0038563A" w:rsidRDefault="00DD596C" w:rsidP="00B729C7">
      <w:pPr>
        <w:jc w:val="both"/>
        <w:rPr>
          <w:lang w:val="sr-Cyrl-RS"/>
        </w:rPr>
      </w:pPr>
      <w:r>
        <w:rPr>
          <w:lang w:val="sr-Cyrl-RS"/>
        </w:rPr>
        <w:t>Период</w:t>
      </w:r>
      <w:r>
        <w:t xml:space="preserve"> </w:t>
      </w:r>
      <w:r w:rsidR="00B729C7">
        <w:t xml:space="preserve">реализације </w:t>
      </w:r>
      <w:r w:rsidR="0038563A">
        <w:rPr>
          <w:lang w:val="sr-Cyrl-RS"/>
        </w:rPr>
        <w:t xml:space="preserve">техничке </w:t>
      </w:r>
      <w:r w:rsidR="00B729C7">
        <w:t xml:space="preserve"> подршке</w:t>
      </w:r>
      <w:r w:rsidR="0038563A">
        <w:rPr>
          <w:lang w:val="sr-Cyrl-RS"/>
        </w:rPr>
        <w:t xml:space="preserve"> за</w:t>
      </w:r>
      <w:r w:rsidR="00B729C7">
        <w:t xml:space="preserve"> </w:t>
      </w:r>
      <w:r w:rsidR="0038563A">
        <w:rPr>
          <w:lang w:val="sr-Cyrl-RS"/>
        </w:rPr>
        <w:t xml:space="preserve">изабраних </w:t>
      </w:r>
      <w:r w:rsidR="00B729C7">
        <w:rPr>
          <w:lang w:val="sr-Cyrl-RS"/>
        </w:rPr>
        <w:t xml:space="preserve">50 градова, </w:t>
      </w:r>
      <w:proofErr w:type="spellStart"/>
      <w:r w:rsidR="00B729C7">
        <w:rPr>
          <w:lang w:val="sr-Cyrl-RS"/>
        </w:rPr>
        <w:t>општин</w:t>
      </w:r>
      <w:proofErr w:type="spellEnd"/>
      <w:r w:rsidR="00B729C7" w:rsidRPr="00412AD7">
        <w:t>a</w:t>
      </w:r>
      <w:r w:rsidR="00B729C7">
        <w:rPr>
          <w:lang w:val="sr-Cyrl-RS"/>
        </w:rPr>
        <w:t xml:space="preserve"> и градских општина </w:t>
      </w:r>
      <w:r w:rsidR="0038563A">
        <w:rPr>
          <w:lang w:val="sr-Cyrl-RS"/>
        </w:rPr>
        <w:t xml:space="preserve">је март 2020 </w:t>
      </w:r>
      <w:r w:rsidR="008C1ECE">
        <w:rPr>
          <w:lang w:val="sr-Cyrl-RS"/>
        </w:rPr>
        <w:t xml:space="preserve">– март 2021. </w:t>
      </w:r>
      <w:r w:rsidR="0038563A">
        <w:rPr>
          <w:lang w:val="sr-Cyrl-RS"/>
        </w:rPr>
        <w:t xml:space="preserve">године, који заправо подразумева </w:t>
      </w:r>
      <w:r w:rsidR="00B508EC">
        <w:rPr>
          <w:lang w:val="sr-Cyrl-RS"/>
        </w:rPr>
        <w:t>планирање</w:t>
      </w:r>
      <w:r w:rsidR="00BF6917">
        <w:rPr>
          <w:lang w:val="sr-Cyrl-RS"/>
        </w:rPr>
        <w:t xml:space="preserve"> и припрему</w:t>
      </w:r>
      <w:r w:rsidR="00B508EC">
        <w:rPr>
          <w:lang w:val="sr-Cyrl-RS"/>
        </w:rPr>
        <w:t xml:space="preserve"> </w:t>
      </w:r>
      <w:r w:rsidR="0038563A">
        <w:rPr>
          <w:lang w:val="sr-Cyrl-RS"/>
        </w:rPr>
        <w:t xml:space="preserve">активности из области </w:t>
      </w:r>
      <w:r w:rsidR="00BF6917">
        <w:rPr>
          <w:lang w:val="sr-Cyrl-RS"/>
        </w:rPr>
        <w:t>стручног усавршавања</w:t>
      </w:r>
      <w:r w:rsidR="00AA2C3F">
        <w:rPr>
          <w:lang w:val="sr-Cyrl-RS"/>
        </w:rPr>
        <w:t xml:space="preserve"> током 2020. године</w:t>
      </w:r>
      <w:r w:rsidR="008F7AC2">
        <w:rPr>
          <w:lang w:val="sr-Cyrl-RS"/>
        </w:rPr>
        <w:t>,</w:t>
      </w:r>
      <w:r w:rsidR="00BF6917">
        <w:rPr>
          <w:lang w:val="sr-Cyrl-RS"/>
        </w:rPr>
        <w:t xml:space="preserve"> које ће се реализовати током </w:t>
      </w:r>
      <w:r w:rsidR="0038563A">
        <w:rPr>
          <w:lang w:val="sr-Cyrl-RS"/>
        </w:rPr>
        <w:t>2021. годин</w:t>
      </w:r>
      <w:r w:rsidR="00BF6917">
        <w:rPr>
          <w:lang w:val="sr-Cyrl-RS"/>
        </w:rPr>
        <w:t>е</w:t>
      </w:r>
      <w:r w:rsidR="0038563A">
        <w:rPr>
          <w:lang w:val="sr-Cyrl-RS"/>
        </w:rPr>
        <w:t>.</w:t>
      </w:r>
      <w:r w:rsidR="00B729C7">
        <w:rPr>
          <w:lang w:val="sr-Cyrl-RS"/>
        </w:rPr>
        <w:t xml:space="preserve"> </w:t>
      </w:r>
    </w:p>
    <w:p w14:paraId="79E3C451" w14:textId="77777777" w:rsidR="00785619" w:rsidRPr="00412AD7" w:rsidRDefault="00785619" w:rsidP="00785619">
      <w:pPr>
        <w:contextualSpacing/>
        <w:jc w:val="both"/>
        <w:rPr>
          <w:lang w:val="sr"/>
        </w:rPr>
      </w:pPr>
    </w:p>
    <w:p w14:paraId="105325C2" w14:textId="22001BF7" w:rsidR="00BE5B28" w:rsidRPr="00645829" w:rsidRDefault="00BE5B28" w:rsidP="00CE7A41">
      <w:pPr>
        <w:contextualSpacing/>
        <w:jc w:val="both"/>
      </w:pPr>
      <w:r w:rsidRPr="00412AD7">
        <w:t>Рок за достављање пријава</w:t>
      </w:r>
      <w:r w:rsidR="00940C37">
        <w:rPr>
          <w:lang w:val="sr-Cyrl-RS"/>
        </w:rPr>
        <w:t xml:space="preserve"> за учешће на позиву за реализацију пакета подршке</w:t>
      </w:r>
      <w:r w:rsidRPr="00412AD7">
        <w:t xml:space="preserve"> је </w:t>
      </w:r>
      <w:r w:rsidR="004D7667">
        <w:rPr>
          <w:b/>
          <w:lang w:val="sr-Cyrl-RS"/>
        </w:rPr>
        <w:t>24</w:t>
      </w:r>
      <w:r w:rsidR="00752C84" w:rsidRPr="00EF3578">
        <w:rPr>
          <w:b/>
          <w:bCs/>
        </w:rPr>
        <w:t xml:space="preserve">. </w:t>
      </w:r>
      <w:r w:rsidR="009275E6">
        <w:rPr>
          <w:b/>
          <w:bCs/>
          <w:lang w:val="sr-Cyrl-RS"/>
        </w:rPr>
        <w:t>фебруар</w:t>
      </w:r>
      <w:r w:rsidR="00F92629" w:rsidRPr="00412AD7">
        <w:rPr>
          <w:b/>
          <w:bCs/>
        </w:rPr>
        <w:t xml:space="preserve"> </w:t>
      </w:r>
      <w:r w:rsidR="004049BE" w:rsidRPr="00412AD7">
        <w:rPr>
          <w:b/>
          <w:bCs/>
        </w:rPr>
        <w:t>20</w:t>
      </w:r>
      <w:r w:rsidR="009275E6">
        <w:rPr>
          <w:b/>
          <w:bCs/>
          <w:lang w:val="sr-Cyrl-RS"/>
        </w:rPr>
        <w:t>20</w:t>
      </w:r>
      <w:r w:rsidR="00C3587F" w:rsidRPr="00412AD7">
        <w:rPr>
          <w:b/>
          <w:bCs/>
        </w:rPr>
        <w:t>.</w:t>
      </w:r>
      <w:r w:rsidRPr="00412AD7">
        <w:t xml:space="preserve"> </w:t>
      </w:r>
      <w:r w:rsidR="00412AD7">
        <w:rPr>
          <w:b/>
          <w:bCs/>
          <w:lang w:val="sr-Cyrl-RS"/>
        </w:rPr>
        <w:t>г</w:t>
      </w:r>
      <w:r w:rsidRPr="00412AD7">
        <w:rPr>
          <w:b/>
          <w:bCs/>
        </w:rPr>
        <w:t>одине</w:t>
      </w:r>
      <w:r w:rsidR="00412AD7" w:rsidRPr="00412AD7">
        <w:rPr>
          <w:b/>
          <w:bCs/>
          <w:lang w:val="sr"/>
        </w:rPr>
        <w:t>.</w:t>
      </w:r>
    </w:p>
    <w:p w14:paraId="60DC4BA1" w14:textId="66CA62FC" w:rsidR="00BE5B28" w:rsidRPr="00645829" w:rsidRDefault="00BE5B28" w:rsidP="00CE7A41">
      <w:pPr>
        <w:contextualSpacing/>
        <w:jc w:val="both"/>
        <w:rPr>
          <w:sz w:val="14"/>
        </w:rPr>
      </w:pPr>
    </w:p>
    <w:p w14:paraId="67E3BCCC" w14:textId="32F4BED4" w:rsidR="00154BCD" w:rsidRPr="000408EC" w:rsidRDefault="000F0A9D" w:rsidP="00CE7A41">
      <w:pPr>
        <w:contextualSpacing/>
        <w:jc w:val="both"/>
      </w:pPr>
      <w:r>
        <w:rPr>
          <w:lang w:val="sr-Cyrl-RS"/>
        </w:rPr>
        <w:t>Поред општих информација</w:t>
      </w:r>
      <w:r w:rsidR="009275E6">
        <w:rPr>
          <w:lang w:val="sr-Cyrl-RS"/>
        </w:rPr>
        <w:t xml:space="preserve">, </w:t>
      </w:r>
      <w:r w:rsidR="00D95182">
        <w:rPr>
          <w:lang w:val="sr-Cyrl-RS"/>
        </w:rPr>
        <w:t xml:space="preserve"> д</w:t>
      </w:r>
      <w:r w:rsidR="00BE5B28" w:rsidRPr="00645829">
        <w:t xml:space="preserve">окументацију и упутства за </w:t>
      </w:r>
      <w:r w:rsidR="0005476C" w:rsidRPr="00645829">
        <w:t>пријављивање</w:t>
      </w:r>
      <w:r w:rsidR="000408EC" w:rsidRPr="000408EC">
        <w:t xml:space="preserve"> </w:t>
      </w:r>
      <w:r w:rsidR="008C28D1" w:rsidRPr="00645829">
        <w:t xml:space="preserve">можете преузети на интернет страници </w:t>
      </w:r>
      <w:r w:rsidR="009275E6" w:rsidRPr="00645829">
        <w:t>Сталне конференције градова и oпштина (</w:t>
      </w:r>
      <w:r w:rsidR="000F7F7C">
        <w:fldChar w:fldCharType="begin"/>
      </w:r>
      <w:r w:rsidR="000F7F7C">
        <w:instrText xml:space="preserve"> HYPERLINK "http://www.skgo.org/" </w:instrText>
      </w:r>
      <w:r w:rsidR="000F7F7C">
        <w:fldChar w:fldCharType="separate"/>
      </w:r>
      <w:r w:rsidR="009275E6" w:rsidRPr="00645829">
        <w:rPr>
          <w:rStyle w:val="Hyperlink"/>
          <w:rFonts w:ascii="Calibri" w:hAnsi="Calibri"/>
          <w:sz w:val="22"/>
        </w:rPr>
        <w:t>http://www.skgo.org/</w:t>
      </w:r>
      <w:r w:rsidR="000F7F7C">
        <w:rPr>
          <w:rStyle w:val="Hyperlink"/>
          <w:rFonts w:ascii="Calibri" w:hAnsi="Calibri"/>
          <w:sz w:val="22"/>
        </w:rPr>
        <w:fldChar w:fldCharType="end"/>
      </w:r>
      <w:r w:rsidR="009275E6" w:rsidRPr="00645829">
        <w:t>)</w:t>
      </w:r>
      <w:r w:rsidR="009275E6">
        <w:rPr>
          <w:lang w:val="sr-Cyrl-RS"/>
        </w:rPr>
        <w:t xml:space="preserve">, као и на страници </w:t>
      </w:r>
      <w:r w:rsidR="008C28D1" w:rsidRPr="00645829">
        <w:t>Канцеларије Савета Европе у Београду (</w:t>
      </w:r>
      <w:r w:rsidR="000F7F7C">
        <w:fldChar w:fldCharType="begin"/>
      </w:r>
      <w:r w:rsidR="000F7F7C">
        <w:instrText xml:space="preserve"> HYPERLINK "http://www.coe.int/belgrade" </w:instrText>
      </w:r>
      <w:r w:rsidR="000F7F7C">
        <w:fldChar w:fldCharType="separate"/>
      </w:r>
      <w:r w:rsidR="008C28D1" w:rsidRPr="00645829">
        <w:rPr>
          <w:rStyle w:val="Hyperlink"/>
          <w:rFonts w:ascii="Calibri" w:hAnsi="Calibri"/>
          <w:sz w:val="22"/>
        </w:rPr>
        <w:t>http://www.coe.int/belgrade</w:t>
      </w:r>
      <w:r w:rsidR="000F7F7C">
        <w:rPr>
          <w:rStyle w:val="Hyperlink"/>
          <w:rFonts w:ascii="Calibri" w:hAnsi="Calibri"/>
          <w:sz w:val="22"/>
        </w:rPr>
        <w:fldChar w:fldCharType="end"/>
      </w:r>
      <w:r w:rsidR="00D95182">
        <w:t>)</w:t>
      </w:r>
      <w:r w:rsidR="008C28D1" w:rsidRPr="00645829">
        <w:t xml:space="preserve"> </w:t>
      </w:r>
    </w:p>
    <w:p w14:paraId="314100F1" w14:textId="77777777" w:rsidR="00B729C7" w:rsidRDefault="00B729C7" w:rsidP="00B729C7">
      <w:pPr>
        <w:contextualSpacing/>
        <w:jc w:val="both"/>
      </w:pPr>
    </w:p>
    <w:p w14:paraId="0ECB6668" w14:textId="21C427FB" w:rsidR="00BE5B28" w:rsidRPr="00645829" w:rsidRDefault="00BE5B28" w:rsidP="00CE7A41">
      <w:pPr>
        <w:contextualSpacing/>
        <w:jc w:val="both"/>
      </w:pPr>
      <w:r w:rsidRPr="00645829">
        <w:t>За све</w:t>
      </w:r>
      <w:r w:rsidR="00645829">
        <w:t xml:space="preserve"> додатне информације и образложења</w:t>
      </w:r>
      <w:r w:rsidRPr="00645829">
        <w:t xml:space="preserve"> у вези са подношењем пријава можете  контактирати:</w:t>
      </w:r>
    </w:p>
    <w:p w14:paraId="2C24699E" w14:textId="0EA661B5" w:rsidR="00BE5B28" w:rsidRPr="00645829" w:rsidRDefault="00BE5B28" w:rsidP="00CE7A41">
      <w:pPr>
        <w:contextualSpacing/>
        <w:jc w:val="both"/>
        <w:rPr>
          <w:sz w:val="14"/>
        </w:rPr>
      </w:pPr>
    </w:p>
    <w:p w14:paraId="0BF490F8" w14:textId="27475F8D" w:rsidR="00BE5B28" w:rsidRPr="00645829" w:rsidRDefault="009275E6" w:rsidP="00CE7A41">
      <w:pPr>
        <w:contextualSpacing/>
        <w:rPr>
          <w:b/>
          <w:bCs/>
        </w:rPr>
      </w:pPr>
      <w:r>
        <w:rPr>
          <w:b/>
          <w:bCs/>
          <w:lang w:val="sr-Cyrl-RS"/>
        </w:rPr>
        <w:t>Стална конференција градова и општина</w:t>
      </w:r>
    </w:p>
    <w:p w14:paraId="29DEDF9A" w14:textId="52515699" w:rsidR="00295F54" w:rsidRPr="008C1ECE" w:rsidRDefault="009275E6" w:rsidP="00CE7A41">
      <w:pPr>
        <w:contextualSpacing/>
        <w:rPr>
          <w:bCs/>
          <w:lang w:val="sr-Cyrl-RS"/>
        </w:rPr>
      </w:pPr>
      <w:r>
        <w:rPr>
          <w:bCs/>
          <w:lang w:val="sr-Cyrl-RS"/>
        </w:rPr>
        <w:t>Нина Николић</w:t>
      </w:r>
    </w:p>
    <w:p w14:paraId="2F10F5D0" w14:textId="37194D79" w:rsidR="00C3587F" w:rsidRPr="008C1ECE" w:rsidRDefault="008C1ECE" w:rsidP="00CE7A41">
      <w:pPr>
        <w:contextualSpacing/>
        <w:rPr>
          <w:lang w:val="sr-Cyrl-RS"/>
        </w:rPr>
      </w:pPr>
      <w:proofErr w:type="spellStart"/>
      <w:r>
        <w:rPr>
          <w:bCs/>
          <w:lang w:val="sr-Cyrl-RS"/>
        </w:rPr>
        <w:t>С</w:t>
      </w:r>
      <w:r w:rsidR="009275E6">
        <w:rPr>
          <w:bCs/>
          <w:lang w:val="sr-Cyrl-RS"/>
        </w:rPr>
        <w:t>аветница</w:t>
      </w:r>
      <w:proofErr w:type="spellEnd"/>
      <w:r w:rsidR="009275E6">
        <w:rPr>
          <w:bCs/>
          <w:lang w:val="sr-Cyrl-RS"/>
        </w:rPr>
        <w:t xml:space="preserve"> за стручно усавршавање</w:t>
      </w:r>
    </w:p>
    <w:p w14:paraId="7801FDAA" w14:textId="77777777" w:rsidR="009F6421" w:rsidRDefault="00C3587F" w:rsidP="00CE7A41">
      <w:pPr>
        <w:contextualSpacing/>
        <w:rPr>
          <w:lang w:val="sr-Cyrl-RS"/>
        </w:rPr>
      </w:pPr>
      <w:r w:rsidRPr="004049BE">
        <w:t>Телефон: 011/</w:t>
      </w:r>
      <w:r w:rsidR="00752C84">
        <w:rPr>
          <w:lang w:val="sr-Cyrl-RS"/>
        </w:rPr>
        <w:t>7357-933</w:t>
      </w:r>
    </w:p>
    <w:p w14:paraId="406A20E8" w14:textId="5A88257F" w:rsidR="00BE5B28" w:rsidRPr="005479A4" w:rsidRDefault="00C229AE" w:rsidP="00CE7A41">
      <w:pPr>
        <w:contextualSpacing/>
      </w:pPr>
      <w:r>
        <w:rPr>
          <w:lang w:val="sr-Cyrl-RS"/>
        </w:rPr>
        <w:t>Број мобилног телефона:</w:t>
      </w:r>
      <w:r w:rsidR="007A0DB2">
        <w:rPr>
          <w:lang w:val="en-US"/>
        </w:rPr>
        <w:t xml:space="preserve"> </w:t>
      </w:r>
      <w:r>
        <w:rPr>
          <w:lang w:val="sr-Cyrl-RS"/>
        </w:rPr>
        <w:t>064/8703309</w:t>
      </w:r>
      <w:r w:rsidR="00C3587F" w:rsidRPr="004049BE">
        <w:t xml:space="preserve"> </w:t>
      </w:r>
    </w:p>
    <w:p w14:paraId="5A4936FC" w14:textId="781FF1BC" w:rsidR="00046AF7" w:rsidRPr="00752C84" w:rsidRDefault="00C3587F" w:rsidP="00CE7A41">
      <w:pPr>
        <w:contextualSpacing/>
        <w:rPr>
          <w:lang w:val="sr-Latn-RS"/>
        </w:rPr>
      </w:pPr>
      <w:r w:rsidRPr="00645829">
        <w:t>e-</w:t>
      </w:r>
      <w:r w:rsidR="00E0104B">
        <w:rPr>
          <w:lang w:val="sr-Cyrl-RS"/>
        </w:rPr>
        <w:t>пошта</w:t>
      </w:r>
      <w:r w:rsidRPr="00645829">
        <w:t xml:space="preserve">: </w:t>
      </w:r>
      <w:r w:rsidR="00752C84">
        <w:rPr>
          <w:lang w:val="sr-Latn-RS"/>
        </w:rPr>
        <w:t>nina.nikolic@skgo.org</w:t>
      </w:r>
    </w:p>
    <w:p w14:paraId="5098F46C" w14:textId="77777777" w:rsidR="00046AF7" w:rsidRPr="00046AF7" w:rsidRDefault="00046AF7" w:rsidP="00046AF7"/>
    <w:p w14:paraId="07E218E7" w14:textId="77777777" w:rsidR="00046AF7" w:rsidRPr="00046AF7" w:rsidRDefault="00046AF7" w:rsidP="00046AF7"/>
    <w:p w14:paraId="02E8D7E3" w14:textId="77777777" w:rsidR="00046AF7" w:rsidRPr="00046AF7" w:rsidRDefault="00046AF7" w:rsidP="00046AF7"/>
    <w:p w14:paraId="04D362BA" w14:textId="77777777" w:rsidR="00046AF7" w:rsidRPr="00046AF7" w:rsidRDefault="00046AF7" w:rsidP="00046AF7"/>
    <w:p w14:paraId="71299F12" w14:textId="77777777" w:rsidR="00046AF7" w:rsidRPr="00046AF7" w:rsidRDefault="00046AF7" w:rsidP="00046AF7"/>
    <w:p w14:paraId="7706C676" w14:textId="77777777" w:rsidR="00046AF7" w:rsidRPr="00046AF7" w:rsidRDefault="00046AF7" w:rsidP="00046AF7"/>
    <w:p w14:paraId="32F91E57" w14:textId="77777777" w:rsidR="00046AF7" w:rsidRPr="00046AF7" w:rsidRDefault="00046AF7" w:rsidP="00046AF7"/>
    <w:p w14:paraId="1BDC6446" w14:textId="77777777" w:rsidR="00046AF7" w:rsidRPr="00046AF7" w:rsidRDefault="00046AF7" w:rsidP="00046AF7"/>
    <w:p w14:paraId="160AA4EA" w14:textId="77777777" w:rsidR="00046AF7" w:rsidRPr="00046AF7" w:rsidRDefault="00046AF7" w:rsidP="00046AF7"/>
    <w:p w14:paraId="16DB2BEA" w14:textId="77777777" w:rsidR="00046AF7" w:rsidRPr="00046AF7" w:rsidRDefault="00046AF7" w:rsidP="00046AF7"/>
    <w:p w14:paraId="6814E156" w14:textId="77777777" w:rsidR="00046AF7" w:rsidRPr="00046AF7" w:rsidRDefault="00046AF7" w:rsidP="00046AF7"/>
    <w:p w14:paraId="4CB34758" w14:textId="77777777" w:rsidR="00046AF7" w:rsidRPr="00046AF7" w:rsidRDefault="00046AF7" w:rsidP="00046AF7"/>
    <w:p w14:paraId="5F4FCD6B" w14:textId="77777777" w:rsidR="00046AF7" w:rsidRPr="00046AF7" w:rsidRDefault="00046AF7" w:rsidP="00046AF7"/>
    <w:p w14:paraId="75E4B0BA" w14:textId="096EB6B9" w:rsidR="00046AF7" w:rsidRDefault="00046AF7" w:rsidP="00046AF7"/>
    <w:p w14:paraId="776497CB" w14:textId="6920369D" w:rsidR="00547C5F" w:rsidRDefault="00547C5F" w:rsidP="00046AF7"/>
    <w:p w14:paraId="13DC0638" w14:textId="7AE75C5F" w:rsidR="00547C5F" w:rsidRDefault="00547C5F" w:rsidP="00046AF7"/>
    <w:p w14:paraId="18CF9409" w14:textId="6E6EE9EB" w:rsidR="00547C5F" w:rsidRDefault="00547C5F" w:rsidP="00046AF7"/>
    <w:p w14:paraId="3010D59B" w14:textId="10DF7141" w:rsidR="00547C5F" w:rsidRDefault="00547C5F" w:rsidP="00046AF7"/>
    <w:p w14:paraId="67088B33" w14:textId="4DD11365" w:rsidR="00547C5F" w:rsidRDefault="00547C5F" w:rsidP="00046AF7"/>
    <w:p w14:paraId="68E1EACC" w14:textId="3DF97D89" w:rsidR="00547C5F" w:rsidRDefault="00547C5F" w:rsidP="00046AF7"/>
    <w:p w14:paraId="2751BA0D" w14:textId="055B50EE" w:rsidR="00547C5F" w:rsidRDefault="00547C5F" w:rsidP="00046AF7"/>
    <w:p w14:paraId="1B3C6386" w14:textId="76C2D3D5" w:rsidR="00547C5F" w:rsidRDefault="00547C5F" w:rsidP="00046AF7"/>
    <w:p w14:paraId="2B458F83" w14:textId="269F5541" w:rsidR="00547C5F" w:rsidRDefault="00547C5F" w:rsidP="00046AF7"/>
    <w:p w14:paraId="49966F16" w14:textId="2B307BFB" w:rsidR="00547C5F" w:rsidRDefault="00547C5F" w:rsidP="00046AF7"/>
    <w:p w14:paraId="7E110F9E" w14:textId="6F910C84" w:rsidR="00547C5F" w:rsidRDefault="00547C5F" w:rsidP="00046AF7"/>
    <w:p w14:paraId="1E1220AE" w14:textId="77777777" w:rsidR="00046AF7" w:rsidRPr="0055625C" w:rsidRDefault="00046AF7" w:rsidP="00046AF7">
      <w:pPr>
        <w:rPr>
          <w:lang w:val="sr-Cyrl-RS"/>
        </w:rPr>
      </w:pPr>
    </w:p>
    <w:p w14:paraId="1C8405AD" w14:textId="77777777" w:rsidR="00046AF7" w:rsidRPr="00046AF7" w:rsidRDefault="00046AF7" w:rsidP="00046AF7"/>
    <w:p w14:paraId="497117E0" w14:textId="1D0E1866" w:rsidR="00046AF7" w:rsidRDefault="000F7F7C" w:rsidP="00046AF7">
      <w:pPr>
        <w:pStyle w:val="Header"/>
        <w:tabs>
          <w:tab w:val="clear" w:pos="4680"/>
          <w:tab w:val="clear" w:pos="9360"/>
        </w:tabs>
        <w:ind w:left="-1021" w:right="-964"/>
        <w:rPr>
          <w:rFonts w:ascii="Tahoma" w:hAnsi="Tahoma" w:cs="Tahoma"/>
          <w:b/>
          <w:i/>
          <w:color w:val="0E448A"/>
          <w:sz w:val="16"/>
          <w:szCs w:val="21"/>
          <w:lang w:val="sr-Cyrl-RS"/>
        </w:rPr>
      </w:pPr>
      <w:r>
        <w:rPr>
          <w:rFonts w:ascii="Tahoma" w:hAnsi="Tahoma" w:cs="Tahoma"/>
          <w:b/>
          <w:i/>
          <w:color w:val="0E448A"/>
          <w:sz w:val="16"/>
          <w:szCs w:val="21"/>
          <w:lang w:val="sr-Cyrl-RS"/>
        </w:rPr>
        <w:pict w14:anchorId="0FDA6C15">
          <v:rect id="_x0000_i1025" style="width:552.9pt;height:1pt" o:hralign="center" o:hrstd="t" o:hrnoshade="t" o:hr="t" fillcolor="#0e3d8a" stroked="f"/>
        </w:pict>
      </w:r>
    </w:p>
    <w:p w14:paraId="12ADD9B3" w14:textId="6823DD03" w:rsidR="00046AF7" w:rsidRPr="00703417" w:rsidRDefault="006F1E50" w:rsidP="00046AF7">
      <w:pPr>
        <w:pStyle w:val="Header"/>
        <w:tabs>
          <w:tab w:val="clear" w:pos="4680"/>
          <w:tab w:val="clear" w:pos="9360"/>
        </w:tabs>
        <w:ind w:left="4253" w:right="-896"/>
        <w:jc w:val="both"/>
        <w:rPr>
          <w:rFonts w:ascii="Tahoma" w:hAnsi="Tahoma" w:cs="Tahoma"/>
          <w:b/>
          <w:i/>
          <w:sz w:val="8"/>
          <w:szCs w:val="21"/>
          <w:lang w:val="sr-Latn-RS"/>
        </w:rPr>
      </w:pPr>
      <w:r>
        <w:rPr>
          <w:rFonts w:ascii="Tahoma" w:hAnsi="Tahoma" w:cs="Tahoma"/>
          <w:noProof/>
          <w:sz w:val="16"/>
          <w:szCs w:val="21"/>
        </w:rPr>
        <w:drawing>
          <wp:anchor distT="0" distB="0" distL="114300" distR="114300" simplePos="0" relativeHeight="251664384" behindDoc="1" locked="0" layoutInCell="1" allowOverlap="1" wp14:anchorId="7E0ACD98" wp14:editId="0763828D">
            <wp:simplePos x="0" y="0"/>
            <wp:positionH relativeFrom="column">
              <wp:posOffset>-601014</wp:posOffset>
            </wp:positionH>
            <wp:positionV relativeFrom="paragraph">
              <wp:posOffset>40005</wp:posOffset>
            </wp:positionV>
            <wp:extent cx="1800225" cy="473710"/>
            <wp:effectExtent l="0" t="0" r="9525" b="2540"/>
            <wp:wrapNone/>
            <wp:docPr id="7" name="Picture 7" descr="MDULS logo vodora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ULS logo vodorav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AF7">
        <w:rPr>
          <w:rFonts w:ascii="Tahoma" w:hAnsi="Tahoma" w:cs="Tahoma"/>
          <w:noProof/>
          <w:sz w:val="16"/>
          <w:szCs w:val="21"/>
        </w:rPr>
        <w:drawing>
          <wp:anchor distT="0" distB="0" distL="114300" distR="114300" simplePos="0" relativeHeight="251663360" behindDoc="1" locked="0" layoutInCell="1" allowOverlap="1" wp14:anchorId="43438765" wp14:editId="42E2B912">
            <wp:simplePos x="0" y="0"/>
            <wp:positionH relativeFrom="column">
              <wp:posOffset>5248275</wp:posOffset>
            </wp:positionH>
            <wp:positionV relativeFrom="paragraph">
              <wp:posOffset>52070</wp:posOffset>
            </wp:positionV>
            <wp:extent cx="1296035" cy="490855"/>
            <wp:effectExtent l="0" t="0" r="0" b="4445"/>
            <wp:wrapNone/>
            <wp:docPr id="6" name="Picture 3" descr="Z:\LOGO SKGO I MODELI PISAMA\LOGO SKGO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 SKGO I MODELI PISAMA\LOGO SKGO\SKGO2-sr-cy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55C07" w14:textId="2FE994C6" w:rsidR="00046AF7" w:rsidRPr="005B20C7" w:rsidRDefault="00046AF7" w:rsidP="00046AF7">
      <w:pPr>
        <w:pStyle w:val="Header"/>
        <w:pBdr>
          <w:left w:val="single" w:sz="4" w:space="4" w:color="auto"/>
          <w:right w:val="single" w:sz="4" w:space="4" w:color="auto"/>
        </w:pBdr>
        <w:tabs>
          <w:tab w:val="clear" w:pos="4680"/>
          <w:tab w:val="clear" w:pos="9360"/>
        </w:tabs>
        <w:ind w:left="2127" w:right="1422"/>
        <w:jc w:val="center"/>
        <w:rPr>
          <w:rFonts w:asciiTheme="minorHAnsi" w:hAnsiTheme="minorHAnsi" w:cs="Tahoma"/>
          <w:b/>
          <w:i/>
          <w:sz w:val="18"/>
          <w:szCs w:val="18"/>
          <w:lang w:val="sr-Latn-RS"/>
        </w:rPr>
      </w:pPr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 xml:space="preserve">„Управљање људским ресурсима у локалној </w:t>
      </w:r>
      <w:proofErr w:type="spellStart"/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>самоупр</w:t>
      </w:r>
      <w:proofErr w:type="spellEnd"/>
      <w:r w:rsidRPr="005B20C7">
        <w:rPr>
          <w:rFonts w:asciiTheme="minorHAnsi" w:hAnsiTheme="minorHAnsi" w:cs="Tahoma"/>
          <w:b/>
          <w:sz w:val="18"/>
          <w:szCs w:val="18"/>
          <w:lang w:val="sr-Latn-RS"/>
        </w:rPr>
        <w:t>a</w:t>
      </w:r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>ви – фаза</w:t>
      </w:r>
      <w:r w:rsidRPr="005B20C7">
        <w:rPr>
          <w:rFonts w:asciiTheme="minorHAnsi" w:hAnsiTheme="minorHAnsi" w:cs="Tahoma"/>
          <w:b/>
          <w:sz w:val="18"/>
          <w:szCs w:val="18"/>
          <w:lang w:val="sr-Latn-RS"/>
        </w:rPr>
        <w:t xml:space="preserve"> 2</w:t>
      </w:r>
      <w:r w:rsidRPr="005B20C7">
        <w:rPr>
          <w:rFonts w:asciiTheme="minorHAnsi" w:hAnsiTheme="minorHAnsi" w:cs="Tahoma"/>
          <w:b/>
          <w:sz w:val="18"/>
          <w:szCs w:val="18"/>
          <w:lang w:val="sr-Cyrl-RS"/>
        </w:rPr>
        <w:t>“</w:t>
      </w:r>
    </w:p>
    <w:p w14:paraId="231D022D" w14:textId="7C263F90" w:rsidR="00BE5B28" w:rsidRPr="005B20C7" w:rsidRDefault="00046AF7" w:rsidP="00046AF7">
      <w:pPr>
        <w:pStyle w:val="Header"/>
        <w:pBdr>
          <w:left w:val="single" w:sz="4" w:space="4" w:color="auto"/>
          <w:right w:val="single" w:sz="4" w:space="4" w:color="auto"/>
        </w:pBdr>
        <w:tabs>
          <w:tab w:val="clear" w:pos="4680"/>
          <w:tab w:val="clear" w:pos="9360"/>
        </w:tabs>
        <w:ind w:left="2127" w:right="1422"/>
        <w:jc w:val="both"/>
        <w:rPr>
          <w:rFonts w:asciiTheme="minorHAnsi" w:hAnsiTheme="minorHAnsi" w:cs="Tahoma"/>
          <w:sz w:val="18"/>
          <w:szCs w:val="18"/>
          <w:lang w:val="sr-Cyrl-RS"/>
        </w:rPr>
      </w:pPr>
      <w:r w:rsidRPr="005B20C7">
        <w:rPr>
          <w:rFonts w:asciiTheme="minorHAnsi" w:hAnsiTheme="minorHAnsi" w:cs="Tahoma"/>
          <w:sz w:val="18"/>
          <w:szCs w:val="18"/>
          <w:lang w:val="sr-Cyrl-RS"/>
        </w:rPr>
  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  </w:r>
    </w:p>
    <w:sectPr w:rsidR="00BE5B28" w:rsidRPr="005B20C7" w:rsidSect="005B20C7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BBF"/>
    <w:multiLevelType w:val="hybridMultilevel"/>
    <w:tmpl w:val="B8C4C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4D0"/>
    <w:multiLevelType w:val="hybridMultilevel"/>
    <w:tmpl w:val="7046A270"/>
    <w:lvl w:ilvl="0" w:tplc="5614CE0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28"/>
    <w:rsid w:val="00001B47"/>
    <w:rsid w:val="000061E7"/>
    <w:rsid w:val="000408EC"/>
    <w:rsid w:val="00045D60"/>
    <w:rsid w:val="00046AF7"/>
    <w:rsid w:val="0005476C"/>
    <w:rsid w:val="000D203C"/>
    <w:rsid w:val="000F0A9D"/>
    <w:rsid w:val="000F7F7C"/>
    <w:rsid w:val="00112302"/>
    <w:rsid w:val="00146903"/>
    <w:rsid w:val="00154BCD"/>
    <w:rsid w:val="00161A3F"/>
    <w:rsid w:val="00215AFA"/>
    <w:rsid w:val="00215D61"/>
    <w:rsid w:val="00266BCE"/>
    <w:rsid w:val="00292716"/>
    <w:rsid w:val="00295F54"/>
    <w:rsid w:val="002B3A08"/>
    <w:rsid w:val="002D1C52"/>
    <w:rsid w:val="002D5682"/>
    <w:rsid w:val="0038563A"/>
    <w:rsid w:val="003A2FD0"/>
    <w:rsid w:val="003E69CD"/>
    <w:rsid w:val="00404917"/>
    <w:rsid w:val="004049BE"/>
    <w:rsid w:val="00412AD7"/>
    <w:rsid w:val="00420101"/>
    <w:rsid w:val="004848D8"/>
    <w:rsid w:val="00484916"/>
    <w:rsid w:val="004D7667"/>
    <w:rsid w:val="005415A4"/>
    <w:rsid w:val="005479A4"/>
    <w:rsid w:val="00547C5F"/>
    <w:rsid w:val="0055625C"/>
    <w:rsid w:val="00575C88"/>
    <w:rsid w:val="005B20C7"/>
    <w:rsid w:val="00645829"/>
    <w:rsid w:val="006479C6"/>
    <w:rsid w:val="00664D18"/>
    <w:rsid w:val="006651A8"/>
    <w:rsid w:val="006872FD"/>
    <w:rsid w:val="006971D1"/>
    <w:rsid w:val="006C2475"/>
    <w:rsid w:val="006C5DD8"/>
    <w:rsid w:val="006D0337"/>
    <w:rsid w:val="006D310A"/>
    <w:rsid w:val="006F1747"/>
    <w:rsid w:val="006F1E50"/>
    <w:rsid w:val="00752C84"/>
    <w:rsid w:val="007574AE"/>
    <w:rsid w:val="00766E4C"/>
    <w:rsid w:val="00767EE4"/>
    <w:rsid w:val="00785619"/>
    <w:rsid w:val="007A0DB2"/>
    <w:rsid w:val="007B4E5A"/>
    <w:rsid w:val="00825275"/>
    <w:rsid w:val="00891B25"/>
    <w:rsid w:val="008C1ECE"/>
    <w:rsid w:val="008C28D1"/>
    <w:rsid w:val="008E19F1"/>
    <w:rsid w:val="008E477E"/>
    <w:rsid w:val="008F7AC2"/>
    <w:rsid w:val="00907383"/>
    <w:rsid w:val="0092502E"/>
    <w:rsid w:val="009275E6"/>
    <w:rsid w:val="00940C37"/>
    <w:rsid w:val="00976C4F"/>
    <w:rsid w:val="009B3429"/>
    <w:rsid w:val="009F6421"/>
    <w:rsid w:val="00A51DB1"/>
    <w:rsid w:val="00A6050B"/>
    <w:rsid w:val="00A63587"/>
    <w:rsid w:val="00A81827"/>
    <w:rsid w:val="00AA2C3F"/>
    <w:rsid w:val="00AB6A5C"/>
    <w:rsid w:val="00B10A23"/>
    <w:rsid w:val="00B508EC"/>
    <w:rsid w:val="00B56556"/>
    <w:rsid w:val="00B729C7"/>
    <w:rsid w:val="00B82511"/>
    <w:rsid w:val="00BA618E"/>
    <w:rsid w:val="00BE1EBC"/>
    <w:rsid w:val="00BE4FA4"/>
    <w:rsid w:val="00BE5B28"/>
    <w:rsid w:val="00BF0A92"/>
    <w:rsid w:val="00BF6917"/>
    <w:rsid w:val="00C05C51"/>
    <w:rsid w:val="00C229AE"/>
    <w:rsid w:val="00C3587F"/>
    <w:rsid w:val="00C90E90"/>
    <w:rsid w:val="00CC0C0E"/>
    <w:rsid w:val="00CE7A41"/>
    <w:rsid w:val="00CE7C98"/>
    <w:rsid w:val="00D109F4"/>
    <w:rsid w:val="00D66282"/>
    <w:rsid w:val="00D926A3"/>
    <w:rsid w:val="00D95182"/>
    <w:rsid w:val="00DC3C45"/>
    <w:rsid w:val="00DD596C"/>
    <w:rsid w:val="00DF0643"/>
    <w:rsid w:val="00E0104B"/>
    <w:rsid w:val="00E71C55"/>
    <w:rsid w:val="00EB5FF5"/>
    <w:rsid w:val="00EE1D84"/>
    <w:rsid w:val="00EF3578"/>
    <w:rsid w:val="00F41529"/>
    <w:rsid w:val="00F72604"/>
    <w:rsid w:val="00F92629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DDD8D9"/>
  <w15:docId w15:val="{AD1E70D8-4E3D-40BE-ADD5-86CD8275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z-Cyrl-U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8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65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9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C45"/>
    <w:rPr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45"/>
    <w:rPr>
      <w:b/>
      <w:bCs/>
      <w:sz w:val="20"/>
      <w:szCs w:val="20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5"/>
    <w:rPr>
      <w:rFonts w:ascii="Lucida Grande" w:hAnsi="Lucida Grande"/>
      <w:sz w:val="18"/>
      <w:szCs w:val="18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46AF7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6AF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1" ma:contentTypeDescription="Kreiraj novi dokument." ma:contentTypeScope="" ma:versionID="b95f3eb7c5fff81c0af12926202e5144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4b191dc89fb98e6febf2cf7e71c4a660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6BFF-C3F5-47F9-A774-D128BB11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39F03-CFEF-41CE-ACCF-B2C4BD4BF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EC743-F800-45C0-B7A7-4A66D473B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566FA-B58A-430F-B711-C80E2369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Tarbuk</dc:creator>
  <cp:lastModifiedBy>Edi Majstorovic</cp:lastModifiedBy>
  <cp:revision>34</cp:revision>
  <dcterms:created xsi:type="dcterms:W3CDTF">2020-01-23T13:08:00Z</dcterms:created>
  <dcterms:modified xsi:type="dcterms:W3CDTF">2020-02-04T08:00:00Z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