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A61B" w14:textId="0F7FA61B" w:rsidR="00C704DE" w:rsidRDefault="00482680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14:paraId="700D01D3" w14:textId="77777777" w:rsidR="00C704DE" w:rsidRDefault="0048268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канцеларијском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40/10),</w:t>
      </w:r>
    </w:p>
    <w:p w14:paraId="3E0BF39D" w14:textId="77777777" w:rsidR="00C704DE" w:rsidRDefault="00482680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14:paraId="6B8DA087" w14:textId="77777777" w:rsidR="00C704DE" w:rsidRDefault="00482680">
      <w:pPr>
        <w:spacing w:after="150"/>
      </w:pPr>
      <w:r>
        <w:rPr>
          <w:color w:val="000000"/>
        </w:rPr>
        <w:t> </w:t>
      </w:r>
    </w:p>
    <w:p w14:paraId="33545AB9" w14:textId="77777777" w:rsidR="00C704DE" w:rsidRDefault="00482680">
      <w:pPr>
        <w:spacing w:after="225"/>
        <w:jc w:val="center"/>
      </w:pPr>
      <w:r>
        <w:rPr>
          <w:b/>
          <w:color w:val="000000"/>
        </w:rPr>
        <w:t>УПУТСТВО</w:t>
      </w:r>
    </w:p>
    <w:p w14:paraId="46293277" w14:textId="77777777" w:rsidR="00C704DE" w:rsidRDefault="00482680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електронском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канцеларијском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пословању</w:t>
      </w:r>
      <w:proofErr w:type="spellEnd"/>
    </w:p>
    <w:p w14:paraId="3581CF1B" w14:textId="77777777" w:rsidR="00C704DE" w:rsidRDefault="00482680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2010.</w:t>
      </w:r>
    </w:p>
    <w:p w14:paraId="4FF30A69" w14:textId="77777777" w:rsidR="00C704DE" w:rsidRDefault="00482680">
      <w:pPr>
        <w:spacing w:after="150"/>
        <w:jc w:val="center"/>
      </w:pPr>
      <w:r>
        <w:rPr>
          <w:b/>
          <w:color w:val="000000"/>
        </w:rPr>
        <w:t> </w:t>
      </w:r>
    </w:p>
    <w:p w14:paraId="39E3428D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14:paraId="5E7CDDFB" w14:textId="77777777" w:rsidR="00C704DE" w:rsidRDefault="00482680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</w:t>
      </w:r>
      <w:r>
        <w:rPr>
          <w:color w:val="000000"/>
        </w:rPr>
        <w:t>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>.</w:t>
      </w:r>
    </w:p>
    <w:p w14:paraId="775CE050" w14:textId="77777777" w:rsidR="00C704DE" w:rsidRDefault="00482680">
      <w:pPr>
        <w:spacing w:after="120"/>
        <w:jc w:val="center"/>
      </w:pPr>
      <w:proofErr w:type="spellStart"/>
      <w:r>
        <w:rPr>
          <w:b/>
          <w:color w:val="000000"/>
        </w:rPr>
        <w:t>Значење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појединих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израза</w:t>
      </w:r>
      <w:proofErr w:type="spellEnd"/>
    </w:p>
    <w:p w14:paraId="4116601D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14:paraId="1272068A" w14:textId="77777777" w:rsidR="00C704DE" w:rsidRDefault="00482680">
      <w:pPr>
        <w:spacing w:after="150"/>
      </w:pP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употребљени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значење</w:t>
      </w:r>
      <w:proofErr w:type="spellEnd"/>
      <w:r>
        <w:rPr>
          <w:color w:val="000000"/>
        </w:rPr>
        <w:t>:</w:t>
      </w:r>
    </w:p>
    <w:p w14:paraId="3B7192FB" w14:textId="77777777" w:rsidR="00C704DE" w:rsidRDefault="0048268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</w:t>
      </w:r>
      <w:r>
        <w:rPr>
          <w:color w:val="000000"/>
        </w:rPr>
        <w:t>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канцеларијско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пословање</w:t>
      </w:r>
      <w:proofErr w:type="spellEnd"/>
      <w:r>
        <w:rPr>
          <w:color w:val="000000"/>
        </w:rPr>
        <w:t>;</w:t>
      </w:r>
      <w:proofErr w:type="gramEnd"/>
    </w:p>
    <w:p w14:paraId="0F207F87" w14:textId="77777777" w:rsidR="00C704DE" w:rsidRDefault="00482680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облику</w:t>
      </w:r>
      <w:proofErr w:type="spellEnd"/>
      <w:r>
        <w:rPr>
          <w:color w:val="000000"/>
        </w:rPr>
        <w:t>;</w:t>
      </w:r>
      <w:proofErr w:type="gramEnd"/>
    </w:p>
    <w:p w14:paraId="6CC91770" w14:textId="77777777" w:rsidR="00C704DE" w:rsidRDefault="00482680">
      <w:pPr>
        <w:spacing w:after="150"/>
      </w:pPr>
      <w:r>
        <w:rPr>
          <w:color w:val="000000"/>
        </w:rPr>
        <w:t>3)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рачунарским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организацији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складиштење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података</w:t>
      </w:r>
      <w:proofErr w:type="spellEnd"/>
      <w:r>
        <w:rPr>
          <w:color w:val="000000"/>
        </w:rPr>
        <w:t>;</w:t>
      </w:r>
      <w:proofErr w:type="gramEnd"/>
    </w:p>
    <w:p w14:paraId="799502C5" w14:textId="77777777" w:rsidR="00C704DE" w:rsidRDefault="00482680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датотеке</w:t>
      </w:r>
      <w:proofErr w:type="spellEnd"/>
      <w:r>
        <w:rPr>
          <w:color w:val="000000"/>
        </w:rPr>
        <w:t>.</w:t>
      </w:r>
    </w:p>
    <w:p w14:paraId="64982CBC" w14:textId="77777777" w:rsidR="00C704DE" w:rsidRDefault="00482680">
      <w:pPr>
        <w:spacing w:after="120"/>
        <w:jc w:val="center"/>
      </w:pPr>
      <w:proofErr w:type="spellStart"/>
      <w:r>
        <w:rPr>
          <w:b/>
          <w:color w:val="000000"/>
        </w:rPr>
        <w:t>Примена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одредaбa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вођењу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аутоматске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</w:p>
    <w:p w14:paraId="3CF91B2A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14:paraId="3B93DF31" w14:textId="77777777" w:rsidR="00C704DE" w:rsidRDefault="0048268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канцеларијском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10/93 и 14/93)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уређено</w:t>
      </w:r>
      <w:proofErr w:type="spellEnd"/>
      <w:r>
        <w:rPr>
          <w:color w:val="000000"/>
        </w:rPr>
        <w:t>.</w:t>
      </w:r>
    </w:p>
    <w:p w14:paraId="32E638D6" w14:textId="77777777" w:rsidR="00C704DE" w:rsidRDefault="00482680">
      <w:pPr>
        <w:spacing w:after="120"/>
        <w:jc w:val="center"/>
      </w:pPr>
      <w:proofErr w:type="spellStart"/>
      <w:r>
        <w:rPr>
          <w:b/>
          <w:color w:val="000000"/>
        </w:rPr>
        <w:t>Доступност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информационог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обрађивачима</w:t>
      </w:r>
      <w:proofErr w:type="spellEnd"/>
    </w:p>
    <w:p w14:paraId="451F4202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4.</w:t>
      </w:r>
    </w:p>
    <w:p w14:paraId="5B341F84" w14:textId="77777777" w:rsidR="00C704DE" w:rsidRDefault="00482680">
      <w:pPr>
        <w:spacing w:after="150"/>
      </w:pP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</w:t>
      </w:r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придружити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примљен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</w:t>
      </w:r>
      <w:r>
        <w:rPr>
          <w:color w:val="000000"/>
        </w:rPr>
        <w:t>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канцеларијско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>.</w:t>
      </w:r>
    </w:p>
    <w:p w14:paraId="79A9EE28" w14:textId="77777777" w:rsidR="00C704DE" w:rsidRDefault="00482680">
      <w:pPr>
        <w:spacing w:after="120"/>
        <w:jc w:val="center"/>
      </w:pPr>
      <w:proofErr w:type="spellStart"/>
      <w:r>
        <w:rPr>
          <w:b/>
          <w:color w:val="000000"/>
        </w:rPr>
        <w:t>Идентитет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овлашћења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корисника</w:t>
      </w:r>
      <w:proofErr w:type="spellEnd"/>
    </w:p>
    <w:p w14:paraId="07226142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14:paraId="4CF9C3AB" w14:textId="77777777" w:rsidR="00C704DE" w:rsidRDefault="00482680">
      <w:pPr>
        <w:spacing w:after="150"/>
      </w:pP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лозинке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>.</w:t>
      </w:r>
    </w:p>
    <w:p w14:paraId="24D454C9" w14:textId="77777777" w:rsidR="00C704DE" w:rsidRDefault="00482680">
      <w:pPr>
        <w:spacing w:after="150"/>
      </w:pP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овлашћењима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функционалностима</w:t>
      </w:r>
      <w:proofErr w:type="spellEnd"/>
      <w:r>
        <w:rPr>
          <w:color w:val="000000"/>
        </w:rPr>
        <w:t>.</w:t>
      </w:r>
    </w:p>
    <w:p w14:paraId="00C55873" w14:textId="77777777" w:rsidR="00C704DE" w:rsidRDefault="00482680">
      <w:pPr>
        <w:spacing w:after="120"/>
        <w:jc w:val="center"/>
      </w:pPr>
      <w:proofErr w:type="spellStart"/>
      <w:r>
        <w:rPr>
          <w:b/>
          <w:color w:val="000000"/>
        </w:rPr>
        <w:t>Ак</w:t>
      </w:r>
      <w:r>
        <w:rPr>
          <w:b/>
          <w:color w:val="000000"/>
        </w:rPr>
        <w:t>та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предмету</w:t>
      </w:r>
      <w:proofErr w:type="spellEnd"/>
    </w:p>
    <w:p w14:paraId="2DDED473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14:paraId="5888FABF" w14:textId="77777777" w:rsidR="00C704DE" w:rsidRDefault="0048268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</w:t>
      </w:r>
      <w:r>
        <w:rPr>
          <w:color w:val="000000"/>
        </w:rPr>
        <w:t>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>.</w:t>
      </w:r>
    </w:p>
    <w:p w14:paraId="1A0854DB" w14:textId="77777777" w:rsidR="00C704DE" w:rsidRDefault="00482680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штампају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>.</w:t>
      </w:r>
    </w:p>
    <w:p w14:paraId="4CAC2116" w14:textId="77777777" w:rsidR="00C704DE" w:rsidRDefault="00482680">
      <w:pPr>
        <w:spacing w:after="150"/>
      </w:pP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</w:t>
      </w:r>
      <w:r>
        <w:rPr>
          <w:color w:val="000000"/>
        </w:rPr>
        <w:t>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поруци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ZIP </w:t>
      </w:r>
      <w:proofErr w:type="spellStart"/>
      <w:r>
        <w:rPr>
          <w:color w:val="000000"/>
        </w:rPr>
        <w:t>пакета</w:t>
      </w:r>
      <w:proofErr w:type="spellEnd"/>
      <w:r>
        <w:rPr>
          <w:color w:val="000000"/>
        </w:rPr>
        <w:t xml:space="preserve"> (PKWARE ZIP 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 – „ZIP File Format Specification”),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 xml:space="preserve"> у ZIP </w:t>
      </w:r>
      <w:proofErr w:type="spellStart"/>
      <w:r>
        <w:rPr>
          <w:color w:val="000000"/>
        </w:rPr>
        <w:t>пакету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префикс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цртица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>.</w:t>
      </w:r>
    </w:p>
    <w:p w14:paraId="027E266F" w14:textId="77777777" w:rsidR="00C704DE" w:rsidRDefault="00482680">
      <w:pPr>
        <w:spacing w:after="150"/>
      </w:pP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>.</w:t>
      </w:r>
    </w:p>
    <w:p w14:paraId="3C9510D8" w14:textId="77777777" w:rsidR="00C704DE" w:rsidRDefault="00482680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искључен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.</w:t>
      </w:r>
    </w:p>
    <w:p w14:paraId="3DB401DE" w14:textId="77777777" w:rsidR="00C704DE" w:rsidRDefault="00482680">
      <w:pPr>
        <w:spacing w:after="150"/>
      </w:pPr>
      <w:proofErr w:type="spellStart"/>
      <w:r>
        <w:rPr>
          <w:color w:val="000000"/>
        </w:rPr>
        <w:lastRenderedPageBreak/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</w:t>
      </w:r>
      <w:r>
        <w:rPr>
          <w:color w:val="000000"/>
        </w:rPr>
        <w:t>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уврштена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>.</w:t>
      </w:r>
    </w:p>
    <w:p w14:paraId="3DB8727F" w14:textId="77777777" w:rsidR="00C704DE" w:rsidRDefault="00482680">
      <w:pPr>
        <w:spacing w:after="120"/>
        <w:jc w:val="center"/>
      </w:pPr>
      <w:proofErr w:type="spellStart"/>
      <w:r>
        <w:rPr>
          <w:b/>
          <w:color w:val="000000"/>
        </w:rPr>
        <w:t>Електронско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потписивање</w:t>
      </w:r>
      <w:proofErr w:type="spellEnd"/>
    </w:p>
    <w:p w14:paraId="680D4B99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14:paraId="611A2823" w14:textId="77777777" w:rsidR="00C704DE" w:rsidRDefault="00482680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</w:t>
      </w:r>
      <w:proofErr w:type="spellEnd"/>
      <w:r>
        <w:rPr>
          <w:color w:val="000000"/>
        </w:rPr>
        <w:t>.</w:t>
      </w:r>
    </w:p>
    <w:p w14:paraId="4382B4B6" w14:textId="77777777" w:rsidR="00C704DE" w:rsidRDefault="00482680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немогућности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</w:t>
      </w:r>
      <w:r>
        <w:rPr>
          <w:color w:val="000000"/>
        </w:rPr>
        <w:t>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стекли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.</w:t>
      </w:r>
    </w:p>
    <w:p w14:paraId="085B7679" w14:textId="77777777" w:rsidR="00C704DE" w:rsidRDefault="00482680">
      <w:pPr>
        <w:spacing w:after="150"/>
      </w:pP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истицањем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</w:t>
      </w:r>
      <w:proofErr w:type="spellEnd"/>
      <w:r>
        <w:rPr>
          <w:color w:val="000000"/>
        </w:rPr>
        <w:t>.</w:t>
      </w:r>
    </w:p>
    <w:p w14:paraId="37DCB6F5" w14:textId="77777777" w:rsidR="00C704DE" w:rsidRDefault="00482680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2, 3. и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креиран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</w:t>
      </w:r>
      <w:proofErr w:type="spellEnd"/>
      <w:r>
        <w:rPr>
          <w:color w:val="000000"/>
        </w:rPr>
        <w:t>.</w:t>
      </w:r>
    </w:p>
    <w:p w14:paraId="296394EB" w14:textId="77777777" w:rsidR="00C704DE" w:rsidRDefault="00482680">
      <w:pPr>
        <w:spacing w:after="150"/>
      </w:pPr>
      <w:proofErr w:type="spellStart"/>
      <w:r>
        <w:rPr>
          <w:color w:val="000000"/>
        </w:rPr>
        <w:t>Придруживање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>.</w:t>
      </w:r>
    </w:p>
    <w:p w14:paraId="6C54D2E3" w14:textId="77777777" w:rsidR="00C704DE" w:rsidRDefault="00482680">
      <w:pPr>
        <w:spacing w:after="120"/>
        <w:jc w:val="center"/>
      </w:pPr>
      <w:proofErr w:type="spellStart"/>
      <w:r>
        <w:rPr>
          <w:b/>
          <w:color w:val="000000"/>
        </w:rPr>
        <w:t>Електронска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архива</w:t>
      </w:r>
      <w:proofErr w:type="spellEnd"/>
    </w:p>
    <w:p w14:paraId="0D2B2E4D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14:paraId="4C9BFFBC" w14:textId="77777777" w:rsidR="00C704DE" w:rsidRDefault="00482680">
      <w:pPr>
        <w:spacing w:after="150"/>
      </w:pP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поуздан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задужења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писарница</w:t>
      </w:r>
      <w:proofErr w:type="spellEnd"/>
      <w:r>
        <w:rPr>
          <w:color w:val="000000"/>
        </w:rPr>
        <w:t>.</w:t>
      </w:r>
    </w:p>
    <w:p w14:paraId="17AEBF3E" w14:textId="77777777" w:rsidR="00C704DE" w:rsidRDefault="00482680">
      <w:pPr>
        <w:spacing w:after="150"/>
      </w:pPr>
      <w:proofErr w:type="spellStart"/>
      <w:r>
        <w:rPr>
          <w:color w:val="000000"/>
        </w:rPr>
        <w:t>Опрема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складиштење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просторији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влаге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оштећења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температуре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ваздуха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окружења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спецификацијом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>.</w:t>
      </w:r>
    </w:p>
    <w:p w14:paraId="25EB6F3D" w14:textId="77777777" w:rsidR="00C704DE" w:rsidRDefault="00482680">
      <w:pPr>
        <w:spacing w:after="150"/>
      </w:pPr>
      <w:proofErr w:type="spellStart"/>
      <w:r>
        <w:rPr>
          <w:color w:val="000000"/>
        </w:rPr>
        <w:t>Улазак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онемогући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неовлашћен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складиштење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54173619" w14:textId="77777777" w:rsidR="00C704DE" w:rsidRDefault="00482680">
      <w:pPr>
        <w:spacing w:after="150"/>
      </w:pPr>
      <w:proofErr w:type="spellStart"/>
      <w:r>
        <w:rPr>
          <w:color w:val="000000"/>
        </w:rPr>
        <w:lastRenderedPageBreak/>
        <w:t>Опрема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складиштење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редудантно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складиштење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19834D1A" w14:textId="77777777" w:rsidR="00C704DE" w:rsidRDefault="00482680">
      <w:pPr>
        <w:spacing w:after="150"/>
      </w:pPr>
      <w:proofErr w:type="spellStart"/>
      <w:r>
        <w:rPr>
          <w:color w:val="000000"/>
        </w:rPr>
        <w:t>Редовно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</w:t>
      </w:r>
      <w:r>
        <w:rPr>
          <w:color w:val="000000"/>
        </w:rPr>
        <w:t>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опоравак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36 </w:t>
      </w:r>
      <w:proofErr w:type="spellStart"/>
      <w:r>
        <w:rPr>
          <w:color w:val="000000"/>
        </w:rPr>
        <w:t>сати</w:t>
      </w:r>
      <w:proofErr w:type="spellEnd"/>
      <w:r>
        <w:rPr>
          <w:color w:val="000000"/>
        </w:rPr>
        <w:t>.</w:t>
      </w:r>
    </w:p>
    <w:p w14:paraId="5D31A720" w14:textId="77777777" w:rsidR="00C704DE" w:rsidRDefault="00482680">
      <w:pPr>
        <w:spacing w:after="120"/>
        <w:jc w:val="center"/>
      </w:pPr>
      <w:proofErr w:type="spellStart"/>
      <w:r>
        <w:rPr>
          <w:b/>
          <w:color w:val="000000"/>
        </w:rPr>
        <w:t>Формат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датотеке</w:t>
      </w:r>
      <w:proofErr w:type="spellEnd"/>
    </w:p>
    <w:p w14:paraId="54E557CE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14:paraId="7D666A3A" w14:textId="77777777" w:rsidR="00C704DE" w:rsidRDefault="0048268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датотеке</w:t>
      </w:r>
      <w:proofErr w:type="spellEnd"/>
      <w:r>
        <w:rPr>
          <w:color w:val="000000"/>
        </w:rPr>
        <w:t xml:space="preserve"> ISO 19005 – Electro</w:t>
      </w:r>
      <w:r>
        <w:rPr>
          <w:color w:val="000000"/>
        </w:rPr>
        <w:t xml:space="preserve">nic document file format for long-term preservation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>: PDF/A).</w:t>
      </w:r>
    </w:p>
    <w:p w14:paraId="5D061E97" w14:textId="77777777" w:rsidR="00C704DE" w:rsidRDefault="0048268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нацрте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претпоставити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>:</w:t>
      </w:r>
    </w:p>
    <w:p w14:paraId="4ED079DF" w14:textId="77777777" w:rsidR="00C704DE" w:rsidRDefault="00482680">
      <w:pPr>
        <w:spacing w:after="150"/>
      </w:pPr>
      <w:r>
        <w:rPr>
          <w:color w:val="000000"/>
        </w:rPr>
        <w:t xml:space="preserve">1) ISO 26300 – Open Document Format for Office Applications (OpenDocument) v1.0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>: ODF</w:t>
      </w:r>
      <w:proofErr w:type="gramStart"/>
      <w:r>
        <w:rPr>
          <w:color w:val="000000"/>
        </w:rPr>
        <w:t>);</w:t>
      </w:r>
      <w:proofErr w:type="gramEnd"/>
    </w:p>
    <w:p w14:paraId="2EE032E2" w14:textId="77777777" w:rsidR="00C704DE" w:rsidRDefault="00482680">
      <w:pPr>
        <w:spacing w:after="150"/>
      </w:pPr>
      <w:r>
        <w:rPr>
          <w:color w:val="000000"/>
        </w:rPr>
        <w:t xml:space="preserve">2) ISO 29500 – Office Open XML File Formats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>: OOXML).</w:t>
      </w:r>
    </w:p>
    <w:p w14:paraId="6A0CDDE4" w14:textId="77777777" w:rsidR="00C704DE" w:rsidRDefault="00482680">
      <w:pPr>
        <w:spacing w:after="150"/>
      </w:pP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формати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</w:t>
      </w:r>
      <w:proofErr w:type="spellEnd"/>
      <w:r>
        <w:rPr>
          <w:color w:val="000000"/>
        </w:rPr>
        <w:t xml:space="preserve"> Microsoft Office 2003.</w:t>
      </w:r>
    </w:p>
    <w:p w14:paraId="0AA97336" w14:textId="77777777" w:rsidR="00C704DE" w:rsidRDefault="00482680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случејевима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специјализо</w:t>
      </w:r>
      <w:r>
        <w:rPr>
          <w:color w:val="000000"/>
        </w:rPr>
        <w:t>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специјализован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>.</w:t>
      </w:r>
    </w:p>
    <w:p w14:paraId="21B58A01" w14:textId="77777777" w:rsidR="00C704DE" w:rsidRDefault="0048268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</w:t>
      </w:r>
      <w:r>
        <w:rPr>
          <w:color w:val="000000"/>
        </w:rPr>
        <w:t>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</w:t>
      </w:r>
      <w:proofErr w:type="spellEnd"/>
      <w:r>
        <w:rPr>
          <w:color w:val="000000"/>
        </w:rPr>
        <w:t>:</w:t>
      </w:r>
    </w:p>
    <w:p w14:paraId="4C7C025B" w14:textId="77777777" w:rsidR="00C704DE" w:rsidRDefault="0048268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PAdES</w:t>
      </w:r>
      <w:proofErr w:type="spellEnd"/>
      <w:r>
        <w:rPr>
          <w:color w:val="000000"/>
        </w:rPr>
        <w:t xml:space="preserve"> (PDF Advanced Electronic Signatures) 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ETSI TS 101 778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датотеке</w:t>
      </w:r>
      <w:proofErr w:type="spellEnd"/>
      <w:r>
        <w:rPr>
          <w:color w:val="000000"/>
        </w:rPr>
        <w:t xml:space="preserve"> PDF/</w:t>
      </w:r>
      <w:proofErr w:type="gramStart"/>
      <w:r>
        <w:rPr>
          <w:color w:val="000000"/>
        </w:rPr>
        <w:t>A;</w:t>
      </w:r>
      <w:proofErr w:type="gramEnd"/>
    </w:p>
    <w:p w14:paraId="4C734D87" w14:textId="77777777" w:rsidR="00C704DE" w:rsidRDefault="00482680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XАdES</w:t>
      </w:r>
      <w:proofErr w:type="spellEnd"/>
      <w:r>
        <w:rPr>
          <w:color w:val="000000"/>
        </w:rPr>
        <w:t xml:space="preserve"> (XML Advanced Electronic Signatures) 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ETSI TS 101 903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</w:t>
      </w:r>
      <w:r>
        <w:rPr>
          <w:color w:val="000000"/>
        </w:rPr>
        <w:t>изоване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члана</w:t>
      </w:r>
      <w:proofErr w:type="spellEnd"/>
      <w:r>
        <w:rPr>
          <w:color w:val="000000"/>
        </w:rPr>
        <w:t>;</w:t>
      </w:r>
      <w:proofErr w:type="gramEnd"/>
    </w:p>
    <w:p w14:paraId="7E72002B" w14:textId="77777777" w:rsidR="00C704DE" w:rsidRDefault="00482680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CАdES</w:t>
      </w:r>
      <w:proofErr w:type="spellEnd"/>
      <w:r>
        <w:rPr>
          <w:color w:val="000000"/>
        </w:rPr>
        <w:t xml:space="preserve"> (CMS Advanced Electronic Signatures) 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ETSI TS 101 733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специјализоване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14:paraId="767D6070" w14:textId="77777777" w:rsidR="00C704DE" w:rsidRDefault="00482680">
      <w:pPr>
        <w:spacing w:after="120"/>
        <w:jc w:val="center"/>
      </w:pPr>
      <w:proofErr w:type="spellStart"/>
      <w:r>
        <w:rPr>
          <w:b/>
          <w:color w:val="000000"/>
        </w:rPr>
        <w:t>Ступање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</w:p>
    <w:p w14:paraId="42E99B67" w14:textId="77777777" w:rsidR="00C704DE" w:rsidRDefault="0048268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14:paraId="16FB9BDB" w14:textId="77777777" w:rsidR="00C704DE" w:rsidRDefault="00482680">
      <w:pPr>
        <w:spacing w:after="150"/>
      </w:pPr>
      <w:proofErr w:type="spellStart"/>
      <w:r>
        <w:rPr>
          <w:color w:val="000000"/>
        </w:rPr>
        <w:t>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14:paraId="4D96E771" w14:textId="77777777" w:rsidR="00C704DE" w:rsidRDefault="00482680">
      <w:pPr>
        <w:spacing w:after="150"/>
      </w:pPr>
      <w:r>
        <w:rPr>
          <w:color w:val="000000"/>
        </w:rPr>
        <w:lastRenderedPageBreak/>
        <w:t> </w:t>
      </w:r>
    </w:p>
    <w:p w14:paraId="3139AD72" w14:textId="77777777" w:rsidR="00C704DE" w:rsidRDefault="00482680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130-031-00-00529/2010-01</w:t>
      </w:r>
    </w:p>
    <w:p w14:paraId="0CBFCEA0" w14:textId="77777777" w:rsidR="00C704DE" w:rsidRDefault="00482680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24.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године</w:t>
      </w:r>
      <w:proofErr w:type="spellEnd"/>
    </w:p>
    <w:p w14:paraId="35668C4B" w14:textId="77777777" w:rsidR="00C704DE" w:rsidRDefault="00482680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14:paraId="3A20ED9E" w14:textId="77777777" w:rsidR="00C704DE" w:rsidRDefault="00482680">
      <w:pPr>
        <w:spacing w:after="150"/>
        <w:jc w:val="right"/>
      </w:pPr>
      <w:proofErr w:type="spellStart"/>
      <w:r>
        <w:rPr>
          <w:b/>
          <w:color w:val="000000"/>
        </w:rPr>
        <w:t>Милан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Марковић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C704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E"/>
    <w:rsid w:val="00482680"/>
    <w:rsid w:val="00C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F2B2C-88A3-4A94-A58F-FEAD03E7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6865</Characters>
  <Application>Microsoft Office Word</Application>
  <DocSecurity>4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Guduric</dc:creator>
  <cp:lastModifiedBy>Andrea Guduric</cp:lastModifiedBy>
  <cp:revision>2</cp:revision>
  <dcterms:created xsi:type="dcterms:W3CDTF">2021-06-02T12:19:00Z</dcterms:created>
  <dcterms:modified xsi:type="dcterms:W3CDTF">2021-06-02T12:19:00Z</dcterms:modified>
</cp:coreProperties>
</file>