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AF133" w14:textId="40712F62" w:rsidR="00F11398" w:rsidRPr="005F0DE4" w:rsidRDefault="00F11398" w:rsidP="00F11398">
      <w:pPr>
        <w:spacing w:after="100" w:line="240" w:lineRule="auto"/>
        <w:jc w:val="center"/>
        <w:rPr>
          <w:rFonts w:ascii="Tahoma" w:eastAsia="Times New Roman" w:hAnsi="Tahoma" w:cs="Tahoma"/>
          <w:b/>
          <w:noProof/>
          <w:lang w:val="sr-Latn-RS"/>
        </w:rPr>
      </w:pPr>
      <w:r w:rsidRPr="005F0DE4">
        <w:rPr>
          <w:rFonts w:ascii="Tahoma" w:eastAsia="Times New Roman" w:hAnsi="Tahoma" w:cs="Tahoma"/>
          <w:b/>
          <w:noProof/>
          <w:lang w:val="sr-Latn-RS"/>
        </w:rPr>
        <w:t>Najčešće postavljana pitanja JLS tokom budžetskog ciklusa za 20</w:t>
      </w:r>
      <w:r w:rsidR="005B0DFF">
        <w:rPr>
          <w:rFonts w:ascii="Tahoma" w:eastAsia="Times New Roman" w:hAnsi="Tahoma" w:cs="Tahoma"/>
          <w:b/>
          <w:noProof/>
          <w:lang w:val="sr-Latn-RS"/>
        </w:rPr>
        <w:t>20</w:t>
      </w:r>
      <w:r w:rsidRPr="005F0DE4">
        <w:rPr>
          <w:rFonts w:ascii="Tahoma" w:eastAsia="Times New Roman" w:hAnsi="Tahoma" w:cs="Tahoma"/>
          <w:b/>
          <w:noProof/>
          <w:lang w:val="sr-Latn-RS"/>
        </w:rPr>
        <w:t>. godinu</w:t>
      </w:r>
    </w:p>
    <w:p w14:paraId="2753D079" w14:textId="77777777" w:rsidR="00F11398" w:rsidRPr="005F0DE4" w:rsidRDefault="00F11398" w:rsidP="00F11398">
      <w:pPr>
        <w:spacing w:after="100" w:line="240" w:lineRule="auto"/>
        <w:jc w:val="center"/>
        <w:rPr>
          <w:rFonts w:ascii="Tahoma" w:eastAsia="Times New Roman" w:hAnsi="Tahoma" w:cs="Tahoma"/>
          <w:b/>
          <w:noProof/>
          <w:lang w:val="sr-Latn-RS"/>
        </w:rPr>
      </w:pPr>
    </w:p>
    <w:p w14:paraId="55718C79" w14:textId="18F1A4E2" w:rsidR="00F11398" w:rsidRPr="00F4307D" w:rsidRDefault="00F4307D" w:rsidP="00F4307D">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1. </w:t>
      </w:r>
      <w:r w:rsidR="007F5044" w:rsidRPr="00F4307D">
        <w:rPr>
          <w:rFonts w:ascii="Tahoma" w:eastAsia="Times New Roman" w:hAnsi="Tahoma" w:cs="Tahoma"/>
          <w:b/>
          <w:bCs/>
          <w:noProof/>
          <w:lang w:val="sr-Latn-RS"/>
        </w:rPr>
        <w:t>Pitanje:</w:t>
      </w:r>
      <w:r w:rsidR="007F5044" w:rsidRPr="00F4307D">
        <w:rPr>
          <w:rFonts w:ascii="Tahoma" w:eastAsia="Times New Roman" w:hAnsi="Tahoma" w:cs="Tahoma"/>
          <w:noProof/>
          <w:lang w:val="sr-Latn-RS"/>
        </w:rPr>
        <w:t xml:space="preserve"> Da li je moguće/preporučljivo upotrebiti pokazatelj „ostvarenje finansijskog plana“ kao indikator u programskim informacijama budžeta za konkretnu programsku aktivnost?</w:t>
      </w:r>
    </w:p>
    <w:p w14:paraId="48B4A2CA" w14:textId="1CA1C022" w:rsidR="007F5044" w:rsidRPr="00A17AE3" w:rsidRDefault="007F5044" w:rsidP="00F11398">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 xml:space="preserve">Odgovor: </w:t>
      </w:r>
      <w:r w:rsidR="00A17AE3">
        <w:rPr>
          <w:rFonts w:ascii="Tahoma" w:eastAsia="Times New Roman" w:hAnsi="Tahoma" w:cs="Tahoma"/>
          <w:noProof/>
          <w:lang w:val="sr-Latn-RS"/>
        </w:rPr>
        <w:t>Prilikom formulisanja indikatora po postavljenom cilju za konkretnu programsku aktivnost potrebno je težiti ka formulaciji indikatora kod kojih ciljane vrednosti možemo iskazati numerički</w:t>
      </w:r>
      <w:r w:rsidR="00A40884">
        <w:rPr>
          <w:rFonts w:ascii="Tahoma" w:eastAsia="Times New Roman" w:hAnsi="Tahoma" w:cs="Tahoma"/>
          <w:noProof/>
          <w:lang w:val="sr-Latn-RS"/>
        </w:rPr>
        <w:t xml:space="preserve"> u apsolutnom ili u relativnom obliku (</w:t>
      </w:r>
      <w:r w:rsidR="00A40884" w:rsidRPr="00A40884">
        <w:rPr>
          <w:rFonts w:ascii="Tahoma" w:eastAsia="Times New Roman" w:hAnsi="Tahoma" w:cs="Tahoma"/>
          <w:noProof/>
          <w:u w:val="single"/>
          <w:lang w:val="sr-Latn-RS"/>
        </w:rPr>
        <w:t>ali ne kao realizaciju finansijskog plana</w:t>
      </w:r>
      <w:r w:rsidR="00A40884">
        <w:rPr>
          <w:rFonts w:ascii="Tahoma" w:eastAsia="Times New Roman" w:hAnsi="Tahoma" w:cs="Tahoma"/>
          <w:noProof/>
          <w:lang w:val="sr-Latn-RS"/>
        </w:rPr>
        <w:t>, jer se budžetska realizacija iskazuje zasebno, a ovde je reč o iskazivanju programskih informacija!)</w:t>
      </w:r>
      <w:r w:rsidR="00A17AE3">
        <w:rPr>
          <w:rFonts w:ascii="Tahoma" w:eastAsia="Times New Roman" w:hAnsi="Tahoma" w:cs="Tahoma"/>
          <w:noProof/>
          <w:lang w:val="sr-Latn-RS"/>
        </w:rPr>
        <w:t>. Radi adekvatnog praćenja učinka pojedinih programskih aktivnosti potrebno je izbegavati formulaciju indikatora kod kojih vrednosti (ciljan</w:t>
      </w:r>
      <w:r w:rsidR="00A40884">
        <w:rPr>
          <w:rFonts w:ascii="Tahoma" w:eastAsia="Times New Roman" w:hAnsi="Tahoma" w:cs="Tahoma"/>
          <w:noProof/>
          <w:lang w:val="sr-Latn-RS"/>
        </w:rPr>
        <w:t>e</w:t>
      </w:r>
      <w:r w:rsidR="00A17AE3">
        <w:rPr>
          <w:rFonts w:ascii="Tahoma" w:eastAsia="Times New Roman" w:hAnsi="Tahoma" w:cs="Tahoma"/>
          <w:noProof/>
          <w:lang w:val="sr-Latn-RS"/>
        </w:rPr>
        <w:t xml:space="preserve">) ne bi mogle da se iskažu brojevima, već samo opisno, npr. završetak 3. faze izgradnje objekta xx, ili izrađena tehnička dokumentacija za rekonstrukciju zgrade xy. </w:t>
      </w:r>
      <w:r w:rsidR="00A40884">
        <w:rPr>
          <w:rFonts w:ascii="Tahoma" w:eastAsia="Times New Roman" w:hAnsi="Tahoma" w:cs="Tahoma"/>
          <w:noProof/>
          <w:lang w:val="sr-Latn-RS"/>
        </w:rPr>
        <w:t xml:space="preserve">Takođe, uopšte </w:t>
      </w:r>
      <w:r w:rsidR="00A40884" w:rsidRPr="00A40884">
        <w:rPr>
          <w:rFonts w:ascii="Tahoma" w:eastAsia="Times New Roman" w:hAnsi="Tahoma" w:cs="Tahoma"/>
          <w:noProof/>
          <w:u w:val="single"/>
          <w:lang w:val="sr-Latn-RS"/>
        </w:rPr>
        <w:t xml:space="preserve">nije </w:t>
      </w:r>
      <w:r w:rsidR="00A40884">
        <w:rPr>
          <w:rFonts w:ascii="Tahoma" w:eastAsia="Times New Roman" w:hAnsi="Tahoma" w:cs="Tahoma"/>
          <w:noProof/>
          <w:u w:val="single"/>
          <w:lang w:val="sr-Latn-RS"/>
        </w:rPr>
        <w:t xml:space="preserve">metodološki ispravno </w:t>
      </w:r>
      <w:r w:rsidR="00A40884" w:rsidRPr="00A40884">
        <w:rPr>
          <w:rFonts w:ascii="Tahoma" w:eastAsia="Times New Roman" w:hAnsi="Tahoma" w:cs="Tahoma"/>
          <w:noProof/>
          <w:u w:val="single"/>
          <w:lang w:val="sr-Latn-RS"/>
        </w:rPr>
        <w:t>da se kao indikator korisiti formulacija da je finansijski plan ostvaren</w:t>
      </w:r>
      <w:r w:rsidR="00A40884">
        <w:rPr>
          <w:rFonts w:ascii="Tahoma" w:eastAsia="Times New Roman" w:hAnsi="Tahoma" w:cs="Tahoma"/>
          <w:noProof/>
          <w:lang w:val="sr-Latn-RS"/>
        </w:rPr>
        <w:t xml:space="preserve">, jer ona ne govori ništa o suštini ostvarenih postignuća u okviru programske aktivnosti (šta je izgrađeno/urađeno/unapređeno, ko su korisnici, koliko ih je i sl.). </w:t>
      </w:r>
    </w:p>
    <w:p w14:paraId="67E37856" w14:textId="1C8C5F33" w:rsidR="007F5044" w:rsidRDefault="007F5044" w:rsidP="00F11398">
      <w:pPr>
        <w:spacing w:after="100" w:line="240" w:lineRule="auto"/>
        <w:jc w:val="both"/>
        <w:rPr>
          <w:rFonts w:ascii="Tahoma" w:eastAsia="Times New Roman" w:hAnsi="Tahoma" w:cs="Tahoma"/>
          <w:noProof/>
          <w:lang w:val="sr-Latn-RS"/>
        </w:rPr>
      </w:pPr>
    </w:p>
    <w:p w14:paraId="502CE6D7" w14:textId="1A2AAFAD" w:rsidR="007F5044" w:rsidRPr="007F5044" w:rsidRDefault="00F4307D" w:rsidP="00F11398">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2. </w:t>
      </w:r>
      <w:r w:rsidR="007F5044" w:rsidRPr="007F5044">
        <w:rPr>
          <w:rFonts w:ascii="Tahoma" w:eastAsia="Times New Roman" w:hAnsi="Tahoma" w:cs="Tahoma"/>
          <w:b/>
          <w:bCs/>
          <w:noProof/>
          <w:lang w:val="sr-Latn-RS"/>
        </w:rPr>
        <w:t xml:space="preserve">Pitanje: </w:t>
      </w:r>
      <w:r w:rsidR="007F5044">
        <w:rPr>
          <w:rFonts w:ascii="Tahoma" w:eastAsia="Times New Roman" w:hAnsi="Tahoma" w:cs="Tahoma"/>
          <w:noProof/>
          <w:lang w:val="sr-Latn-RS"/>
        </w:rPr>
        <w:t>Koje su preporuke u vezi</w:t>
      </w:r>
      <w:r w:rsidR="00C06BB2">
        <w:rPr>
          <w:rFonts w:ascii="Tahoma" w:eastAsia="Times New Roman" w:hAnsi="Tahoma" w:cs="Tahoma"/>
          <w:noProof/>
          <w:lang w:val="sr-Latn-RS"/>
        </w:rPr>
        <w:t xml:space="preserve"> statusa</w:t>
      </w:r>
      <w:r w:rsidR="007F5044">
        <w:rPr>
          <w:rFonts w:ascii="Tahoma" w:eastAsia="Times New Roman" w:hAnsi="Tahoma" w:cs="Tahoma"/>
          <w:noProof/>
          <w:lang w:val="sr-Latn-RS"/>
        </w:rPr>
        <w:t xml:space="preserve"> </w:t>
      </w:r>
      <w:r w:rsidR="00C06BB2">
        <w:rPr>
          <w:rFonts w:ascii="Tahoma" w:eastAsia="Times New Roman" w:hAnsi="Tahoma" w:cs="Tahoma"/>
          <w:noProof/>
          <w:lang w:val="sr-Latn-RS"/>
        </w:rPr>
        <w:t>indirektnih korisnika sa dve ili više nadležnosti</w:t>
      </w:r>
      <w:r w:rsidR="00730A0D">
        <w:rPr>
          <w:rFonts w:ascii="Tahoma" w:eastAsia="Times New Roman" w:hAnsi="Tahoma" w:cs="Tahoma"/>
          <w:noProof/>
          <w:lang w:val="sr-Latn-RS"/>
        </w:rPr>
        <w:t>, npr. Kulturno-obrazovni centar</w:t>
      </w:r>
      <w:r w:rsidR="00C06BB2">
        <w:rPr>
          <w:rFonts w:ascii="Tahoma" w:eastAsia="Times New Roman" w:hAnsi="Tahoma" w:cs="Tahoma"/>
          <w:noProof/>
          <w:lang w:val="sr-Latn-RS"/>
        </w:rPr>
        <w:t>?</w:t>
      </w:r>
    </w:p>
    <w:p w14:paraId="61322411" w14:textId="3F7AC3AB" w:rsidR="00150B9B" w:rsidRPr="00793415" w:rsidRDefault="007F5044" w:rsidP="00150B9B">
      <w:pPr>
        <w:jc w:val="both"/>
        <w:rPr>
          <w:lang w:val="sr-Latn-RS"/>
        </w:rPr>
      </w:pPr>
      <w:r w:rsidRPr="007F5044">
        <w:rPr>
          <w:rFonts w:ascii="Tahoma" w:eastAsia="Times New Roman" w:hAnsi="Tahoma" w:cs="Tahoma"/>
          <w:b/>
          <w:bCs/>
          <w:noProof/>
          <w:lang w:val="sr-Latn-RS"/>
        </w:rPr>
        <w:t>Odgovor:</w:t>
      </w:r>
      <w:r w:rsidR="00A17AE3">
        <w:rPr>
          <w:rFonts w:ascii="Tahoma" w:eastAsia="Times New Roman" w:hAnsi="Tahoma" w:cs="Tahoma"/>
          <w:b/>
          <w:bCs/>
          <w:noProof/>
          <w:lang w:val="sr-Latn-RS"/>
        </w:rPr>
        <w:t xml:space="preserve"> </w:t>
      </w:r>
      <w:r w:rsidR="00F90A86">
        <w:rPr>
          <w:rFonts w:ascii="Tahoma" w:eastAsia="Times New Roman" w:hAnsi="Tahoma" w:cs="Tahoma"/>
          <w:noProof/>
          <w:lang w:val="sr-Latn-RS"/>
        </w:rPr>
        <w:t>U određenom broju LS pogrešno se objedinjuju korisnici javnih sredstava u jednog indirektnog korisnika budžeta i pored činjenice da obavljaju različite nadležnosti npr. kulturno-obrazovni centri, sp</w:t>
      </w:r>
      <w:r w:rsidR="004234B7">
        <w:rPr>
          <w:rFonts w:ascii="Tahoma" w:eastAsia="Times New Roman" w:hAnsi="Tahoma" w:cs="Tahoma"/>
          <w:noProof/>
          <w:lang w:val="sr-Latn-RS"/>
        </w:rPr>
        <w:t>or</w:t>
      </w:r>
      <w:r w:rsidR="00F90A86">
        <w:rPr>
          <w:rFonts w:ascii="Tahoma" w:eastAsia="Times New Roman" w:hAnsi="Tahoma" w:cs="Tahoma"/>
          <w:noProof/>
          <w:lang w:val="sr-Latn-RS"/>
        </w:rPr>
        <w:t xml:space="preserve">tsko-kulturno-turistički centar, centar za fizičku kulturu, rekreaciju i turizam i slično. Kao prvi problem, kod takvih „nelogično“ spojenih korisnika u jednog indirektnog korisnika javlja se </w:t>
      </w:r>
      <w:r w:rsidR="00627A04">
        <w:rPr>
          <w:rFonts w:ascii="Tahoma" w:eastAsia="Times New Roman" w:hAnsi="Tahoma" w:cs="Tahoma"/>
          <w:noProof/>
          <w:lang w:val="sr-Latn-RS"/>
        </w:rPr>
        <w:t xml:space="preserve">pitanje radnopravnog statusa njihovih zaposlenih (primenjuju se različiti propisi u određivanju koeficijenata, odnosno vrednosti koeficijenta). Drugi problem </w:t>
      </w:r>
      <w:r w:rsidR="004234B7">
        <w:rPr>
          <w:rFonts w:ascii="Tahoma" w:eastAsia="Times New Roman" w:hAnsi="Tahoma" w:cs="Tahoma"/>
          <w:noProof/>
          <w:lang w:val="sr-Latn-RS"/>
        </w:rPr>
        <w:t>se ogleda u</w:t>
      </w:r>
      <w:r w:rsidR="00627A04">
        <w:rPr>
          <w:rFonts w:ascii="Tahoma" w:eastAsia="Times New Roman" w:hAnsi="Tahoma" w:cs="Tahoma"/>
          <w:noProof/>
          <w:lang w:val="sr-Latn-RS"/>
        </w:rPr>
        <w:t xml:space="preserve"> adekvatno</w:t>
      </w:r>
      <w:r w:rsidR="004234B7">
        <w:rPr>
          <w:rFonts w:ascii="Tahoma" w:eastAsia="Times New Roman" w:hAnsi="Tahoma" w:cs="Tahoma"/>
          <w:noProof/>
          <w:lang w:val="sr-Latn-RS"/>
        </w:rPr>
        <w:t>m</w:t>
      </w:r>
      <w:r w:rsidR="00627A04">
        <w:rPr>
          <w:rFonts w:ascii="Tahoma" w:eastAsia="Times New Roman" w:hAnsi="Tahoma" w:cs="Tahoma"/>
          <w:noProof/>
          <w:lang w:val="sr-Latn-RS"/>
        </w:rPr>
        <w:t xml:space="preserve"> predstavljanj</w:t>
      </w:r>
      <w:r w:rsidR="004234B7">
        <w:rPr>
          <w:rFonts w:ascii="Tahoma" w:eastAsia="Times New Roman" w:hAnsi="Tahoma" w:cs="Tahoma"/>
          <w:noProof/>
          <w:lang w:val="sr-Latn-RS"/>
        </w:rPr>
        <w:t>u</w:t>
      </w:r>
      <w:r w:rsidR="00627A04">
        <w:rPr>
          <w:rFonts w:ascii="Tahoma" w:eastAsia="Times New Roman" w:hAnsi="Tahoma" w:cs="Tahoma"/>
          <w:noProof/>
          <w:lang w:val="sr-Latn-RS"/>
        </w:rPr>
        <w:t xml:space="preserve"> indirektnog korisnika, kao nosioca određene programske aktivnosti u konkretnom programu</w:t>
      </w:r>
      <w:r w:rsidR="004234B7">
        <w:rPr>
          <w:rFonts w:ascii="Tahoma" w:eastAsia="Times New Roman" w:hAnsi="Tahoma" w:cs="Tahoma"/>
          <w:noProof/>
          <w:lang w:val="sr-Latn-RS"/>
        </w:rPr>
        <w:t xml:space="preserve"> budžeta. Realizacija</w:t>
      </w:r>
      <w:r w:rsidR="00627A04">
        <w:rPr>
          <w:rFonts w:ascii="Tahoma" w:eastAsia="Times New Roman" w:hAnsi="Tahoma" w:cs="Tahoma"/>
          <w:noProof/>
          <w:lang w:val="sr-Latn-RS"/>
        </w:rPr>
        <w:t xml:space="preserve"> </w:t>
      </w:r>
      <w:r w:rsidR="004234B7">
        <w:rPr>
          <w:rFonts w:ascii="Tahoma" w:eastAsia="Times New Roman" w:hAnsi="Tahoma" w:cs="Tahoma"/>
          <w:noProof/>
          <w:lang w:val="sr-Latn-RS"/>
        </w:rPr>
        <w:t xml:space="preserve">konkretne programske aktivnosti od strane korisnika budžeta </w:t>
      </w:r>
      <w:r w:rsidR="00627A04">
        <w:rPr>
          <w:rFonts w:ascii="Tahoma" w:eastAsia="Times New Roman" w:hAnsi="Tahoma" w:cs="Tahoma"/>
          <w:noProof/>
          <w:lang w:val="sr-Latn-RS"/>
        </w:rPr>
        <w:t>doprinos</w:t>
      </w:r>
      <w:r w:rsidR="004234B7">
        <w:rPr>
          <w:rFonts w:ascii="Tahoma" w:eastAsia="Times New Roman" w:hAnsi="Tahoma" w:cs="Tahoma"/>
          <w:noProof/>
          <w:lang w:val="sr-Latn-RS"/>
        </w:rPr>
        <w:t>i</w:t>
      </w:r>
      <w:r w:rsidR="00627A04">
        <w:rPr>
          <w:rFonts w:ascii="Tahoma" w:eastAsia="Times New Roman" w:hAnsi="Tahoma" w:cs="Tahoma"/>
          <w:noProof/>
          <w:lang w:val="sr-Latn-RS"/>
        </w:rPr>
        <w:t xml:space="preserve"> dostizanj</w:t>
      </w:r>
      <w:r w:rsidR="004234B7">
        <w:rPr>
          <w:rFonts w:ascii="Tahoma" w:eastAsia="Times New Roman" w:hAnsi="Tahoma" w:cs="Tahoma"/>
          <w:noProof/>
          <w:lang w:val="sr-Latn-RS"/>
        </w:rPr>
        <w:t>u</w:t>
      </w:r>
      <w:r w:rsidR="00627A04">
        <w:rPr>
          <w:rFonts w:ascii="Tahoma" w:eastAsia="Times New Roman" w:hAnsi="Tahoma" w:cs="Tahoma"/>
          <w:noProof/>
          <w:lang w:val="sr-Latn-RS"/>
        </w:rPr>
        <w:t xml:space="preserve"> ciljeva </w:t>
      </w:r>
      <w:r w:rsidR="004234B7">
        <w:rPr>
          <w:rFonts w:ascii="Tahoma" w:eastAsia="Times New Roman" w:hAnsi="Tahoma" w:cs="Tahoma"/>
          <w:noProof/>
          <w:lang w:val="sr-Latn-RS"/>
        </w:rPr>
        <w:t xml:space="preserve">određenog </w:t>
      </w:r>
      <w:r w:rsidR="00627A04">
        <w:rPr>
          <w:rFonts w:ascii="Tahoma" w:eastAsia="Times New Roman" w:hAnsi="Tahoma" w:cs="Tahoma"/>
          <w:noProof/>
          <w:lang w:val="sr-Latn-RS"/>
        </w:rPr>
        <w:t>programa</w:t>
      </w:r>
      <w:r w:rsidR="004234B7">
        <w:rPr>
          <w:rFonts w:ascii="Tahoma" w:eastAsia="Times New Roman" w:hAnsi="Tahoma" w:cs="Tahoma"/>
          <w:noProof/>
          <w:lang w:val="sr-Latn-RS"/>
        </w:rPr>
        <w:t xml:space="preserve"> i u slučaju da indirektni korisnik obavlja više nadležnosti, nije moguće pravilno uvrstiti rashode tog korisnika u konkretan program čiji se cilj ostvaruje i putem poslovanja tog korisnika budžeta. Imajući u vidu da su indirektni korisnici budžeta LS osnovani od strane te LS, predlaže se razdvajanje takvih korisnika u više korisnika, a koji bi kasnije bili adekvatno predstavljeni kroz posebne finansijske planove u budžetu LS, u različitim programskim aktivnostima, koj</w:t>
      </w:r>
      <w:r w:rsidR="00007A9D">
        <w:rPr>
          <w:rFonts w:ascii="Tahoma" w:eastAsia="Times New Roman" w:hAnsi="Tahoma" w:cs="Tahoma"/>
          <w:noProof/>
          <w:lang w:val="sr-Latn-RS"/>
        </w:rPr>
        <w:t>e</w:t>
      </w:r>
      <w:r w:rsidR="004234B7">
        <w:rPr>
          <w:rFonts w:ascii="Tahoma" w:eastAsia="Times New Roman" w:hAnsi="Tahoma" w:cs="Tahoma"/>
          <w:noProof/>
          <w:lang w:val="sr-Latn-RS"/>
        </w:rPr>
        <w:t xml:space="preserve"> bi konačno pripadale konkretnim programima prema Uputstvu za izradu programskog budžeta. </w:t>
      </w:r>
      <w:r w:rsidR="00150B9B">
        <w:rPr>
          <w:rFonts w:ascii="Tahoma" w:eastAsia="Times New Roman" w:hAnsi="Tahoma" w:cs="Tahoma"/>
          <w:noProof/>
          <w:lang w:val="sr-Latn-RS"/>
        </w:rPr>
        <w:t xml:space="preserve">Ipak, treba imati u vidu da je Ministarstvo finansija u izmenama Uputstva za izradu programskog budžeta iz novembra 2019. predvidelo da “usled </w:t>
      </w:r>
      <w:r w:rsidR="00150B9B" w:rsidRPr="00150B9B">
        <w:rPr>
          <w:rFonts w:ascii="Tahoma" w:eastAsia="Times New Roman" w:hAnsi="Tahoma" w:cs="Tahoma"/>
          <w:noProof/>
          <w:lang w:val="sr-Latn-RS"/>
        </w:rPr>
        <w:t>specifičnosti jedinica lokalne samouprave više korisnika budžeta JLS može koristiti jednu programsku aktivnost u okviru jednog programa.</w:t>
      </w:r>
      <w:r w:rsidR="00150B9B">
        <w:rPr>
          <w:rFonts w:ascii="Tahoma" w:eastAsia="Times New Roman" w:hAnsi="Tahoma" w:cs="Tahoma"/>
          <w:noProof/>
          <w:lang w:val="sr-Latn-RS"/>
        </w:rPr>
        <w:t>“</w:t>
      </w:r>
      <w:bookmarkStart w:id="0" w:name="_GoBack"/>
      <w:bookmarkEnd w:id="0"/>
    </w:p>
    <w:p w14:paraId="31CF25B9" w14:textId="5B9E9CC8" w:rsidR="007F5044" w:rsidRDefault="007F5044" w:rsidP="00F11398">
      <w:pPr>
        <w:spacing w:after="100" w:line="240" w:lineRule="auto"/>
        <w:jc w:val="both"/>
        <w:rPr>
          <w:rFonts w:ascii="Tahoma" w:eastAsia="Times New Roman" w:hAnsi="Tahoma" w:cs="Tahoma"/>
          <w:noProof/>
          <w:lang w:val="sr-Latn-RS"/>
        </w:rPr>
      </w:pPr>
    </w:p>
    <w:p w14:paraId="385A9B31" w14:textId="4B7DB6A9" w:rsidR="007F5044" w:rsidRDefault="007F5044" w:rsidP="00F11398">
      <w:pPr>
        <w:spacing w:after="100" w:line="240" w:lineRule="auto"/>
        <w:jc w:val="both"/>
        <w:rPr>
          <w:rFonts w:ascii="Tahoma" w:eastAsia="Times New Roman" w:hAnsi="Tahoma" w:cs="Tahoma"/>
          <w:noProof/>
          <w:lang w:val="sr-Latn-RS"/>
        </w:rPr>
      </w:pPr>
    </w:p>
    <w:p w14:paraId="00413F28" w14:textId="56FE7BF5" w:rsidR="007F5044" w:rsidRPr="00054BB3" w:rsidRDefault="00F4307D" w:rsidP="007F5044">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3. </w:t>
      </w:r>
      <w:r w:rsidR="007F5044" w:rsidRPr="007F5044">
        <w:rPr>
          <w:rFonts w:ascii="Tahoma" w:eastAsia="Times New Roman" w:hAnsi="Tahoma" w:cs="Tahoma"/>
          <w:b/>
          <w:bCs/>
          <w:noProof/>
          <w:lang w:val="sr-Latn-RS"/>
        </w:rPr>
        <w:t xml:space="preserve">Pitanje: </w:t>
      </w:r>
      <w:r w:rsidR="00054BB3">
        <w:rPr>
          <w:rFonts w:ascii="Tahoma" w:eastAsia="Times New Roman" w:hAnsi="Tahoma" w:cs="Tahoma"/>
          <w:noProof/>
          <w:lang w:val="sr-Latn-RS"/>
        </w:rPr>
        <w:t>Kako premostiti evidentne suprotnosti u vezi zbirnog prikazivanja korisnika sredstava koje je propisano Zakon</w:t>
      </w:r>
      <w:r w:rsidR="004234B7">
        <w:rPr>
          <w:rFonts w:ascii="Tahoma" w:eastAsia="Times New Roman" w:hAnsi="Tahoma" w:cs="Tahoma"/>
          <w:noProof/>
          <w:lang w:val="sr-Latn-RS"/>
        </w:rPr>
        <w:t>om</w:t>
      </w:r>
      <w:r w:rsidR="00054BB3">
        <w:rPr>
          <w:rFonts w:ascii="Tahoma" w:eastAsia="Times New Roman" w:hAnsi="Tahoma" w:cs="Tahoma"/>
          <w:noProof/>
          <w:lang w:val="sr-Latn-RS"/>
        </w:rPr>
        <w:t xml:space="preserve"> o budžetskom sistemu i zahtev za transparentno prikazivanj</w:t>
      </w:r>
      <w:r w:rsidR="00541008">
        <w:rPr>
          <w:rFonts w:ascii="Tahoma" w:eastAsia="Times New Roman" w:hAnsi="Tahoma" w:cs="Tahoma"/>
          <w:noProof/>
          <w:lang w:val="sr-Latn-RS"/>
        </w:rPr>
        <w:t>e</w:t>
      </w:r>
      <w:r w:rsidR="00054BB3">
        <w:rPr>
          <w:rFonts w:ascii="Tahoma" w:eastAsia="Times New Roman" w:hAnsi="Tahoma" w:cs="Tahoma"/>
          <w:noProof/>
          <w:lang w:val="sr-Latn-RS"/>
        </w:rPr>
        <w:t xml:space="preserve"> svih budžetskih rashoda LS?</w:t>
      </w:r>
    </w:p>
    <w:p w14:paraId="05DFFE9B" w14:textId="124A2385" w:rsidR="00CF2F6D" w:rsidRDefault="007F5044" w:rsidP="00CF2F6D">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sidR="00541008">
        <w:rPr>
          <w:rFonts w:ascii="Tahoma" w:eastAsia="Times New Roman" w:hAnsi="Tahoma" w:cs="Tahoma"/>
          <w:b/>
          <w:bCs/>
          <w:noProof/>
          <w:lang w:val="sr-Cyrl-RS"/>
        </w:rPr>
        <w:t xml:space="preserve"> </w:t>
      </w:r>
      <w:r w:rsidR="00541008">
        <w:rPr>
          <w:rFonts w:ascii="Tahoma" w:eastAsia="Times New Roman" w:hAnsi="Tahoma" w:cs="Tahoma"/>
          <w:noProof/>
          <w:lang w:val="sr-Latn-RS"/>
        </w:rPr>
        <w:t>Prema članu 2. stav 1. tačka 31. Zakona o budžetskom sistemu aproprijacije za indirektne korisnike budžetskih sredstava iskazuju</w:t>
      </w:r>
      <w:r w:rsidR="00CF2F6D">
        <w:rPr>
          <w:rFonts w:ascii="Tahoma" w:eastAsia="Times New Roman" w:hAnsi="Tahoma" w:cs="Tahoma"/>
          <w:noProof/>
          <w:lang w:val="sr-Latn-RS"/>
        </w:rPr>
        <w:t xml:space="preserve"> </w:t>
      </w:r>
      <w:r w:rsidR="00541008">
        <w:rPr>
          <w:rFonts w:ascii="Tahoma" w:eastAsia="Times New Roman" w:hAnsi="Tahoma" w:cs="Tahoma"/>
          <w:noProof/>
          <w:lang w:val="sr-Latn-RS"/>
        </w:rPr>
        <w:t xml:space="preserve">se zbirno po vrstama indirektnih korisnika i namenama sredstava u okviru razdela direktnog korisnika. Ova odredba označava da npr. sve mesne zajednice ili sve kulturne </w:t>
      </w:r>
      <w:r w:rsidR="00541008">
        <w:rPr>
          <w:rFonts w:ascii="Tahoma" w:eastAsia="Times New Roman" w:hAnsi="Tahoma" w:cs="Tahoma"/>
          <w:noProof/>
          <w:lang w:val="sr-Latn-RS"/>
        </w:rPr>
        <w:lastRenderedPageBreak/>
        <w:t>ustanove bi trebalo iskazati zbirno kao jednog indirektnog korisnika</w:t>
      </w:r>
      <w:r w:rsidR="00CF2F6D">
        <w:rPr>
          <w:rFonts w:ascii="Tahoma" w:eastAsia="Times New Roman" w:hAnsi="Tahoma" w:cs="Tahoma"/>
          <w:noProof/>
          <w:lang w:val="sr-Cyrl-RS"/>
        </w:rPr>
        <w:t xml:space="preserve">. </w:t>
      </w:r>
      <w:r w:rsidR="00CF2F6D">
        <w:rPr>
          <w:rFonts w:ascii="Tahoma" w:eastAsia="Times New Roman" w:hAnsi="Tahoma" w:cs="Tahoma"/>
          <w:noProof/>
          <w:lang w:val="sr-Latn-RS"/>
        </w:rPr>
        <w:t xml:space="preserve">Sa druge strane, prema uputstvu za pripremu odluke o budžetu lokalne vlasti, nalaže se izrada građanskog budžeta, kao instrumenta za povećanje transparetnog iskazivanja načina i svrhe korišćenja javnih sredstava (prikazivanje budžeta građanima na jednostavan i razumljiv način sa informacijama o budžetskim prihodima i primanjima, rashodima i izdacima, izvorima finansiranja, budžetskim korisnicima i slično). Zbirno prikazivanje korisnika sredstava prema vrstama indirektnim korisnika i namenama sredstava je suprotno logici povećanja transparetnosti lokalnih budžeta, ali izrada „građanskog vodiča kroz budžet“, odnosno proširenje obrazloženja odluke o budžetu </w:t>
      </w:r>
      <w:r w:rsidR="00007A9D">
        <w:rPr>
          <w:rFonts w:ascii="Tahoma" w:eastAsia="Times New Roman" w:hAnsi="Tahoma" w:cs="Tahoma"/>
          <w:noProof/>
          <w:lang w:val="sr-Latn-RS"/>
        </w:rPr>
        <w:t xml:space="preserve">- </w:t>
      </w:r>
      <w:r w:rsidR="00CF2F6D">
        <w:rPr>
          <w:rFonts w:ascii="Tahoma" w:eastAsia="Times New Roman" w:hAnsi="Tahoma" w:cs="Tahoma"/>
          <w:noProof/>
          <w:lang w:val="sr-Latn-RS"/>
        </w:rPr>
        <w:t xml:space="preserve">može poslužiti kao alat za povećanje transparentnosti </w:t>
      </w:r>
      <w:r w:rsidR="00007A9D">
        <w:rPr>
          <w:rFonts w:ascii="Tahoma" w:eastAsia="Times New Roman" w:hAnsi="Tahoma" w:cs="Tahoma"/>
          <w:noProof/>
          <w:lang w:val="sr-Latn-RS"/>
        </w:rPr>
        <w:t>budžeta i iskazivanje dodatnih konkretnih informacija</w:t>
      </w:r>
      <w:r w:rsidR="00CF2F6D">
        <w:rPr>
          <w:rFonts w:ascii="Tahoma" w:eastAsia="Times New Roman" w:hAnsi="Tahoma" w:cs="Tahoma"/>
          <w:noProof/>
          <w:lang w:val="sr-Latn-RS"/>
        </w:rPr>
        <w:t xml:space="preserve"> </w:t>
      </w:r>
      <w:r w:rsidR="00007A9D">
        <w:rPr>
          <w:rFonts w:ascii="Tahoma" w:eastAsia="Times New Roman" w:hAnsi="Tahoma" w:cs="Tahoma"/>
          <w:noProof/>
          <w:lang w:val="sr-Latn-RS"/>
        </w:rPr>
        <w:t xml:space="preserve">(za razliku od čisto </w:t>
      </w:r>
      <w:r w:rsidR="00CF2F6D">
        <w:rPr>
          <w:rFonts w:ascii="Tahoma" w:eastAsia="Times New Roman" w:hAnsi="Tahoma" w:cs="Tahoma"/>
          <w:noProof/>
          <w:lang w:val="sr-Latn-RS"/>
        </w:rPr>
        <w:t>analitičkog prikazivanja svih korisnika sa aproprijacijama, odnosno kompletnim finansijskim planovima po korisnicima</w:t>
      </w:r>
      <w:r w:rsidR="00007A9D">
        <w:rPr>
          <w:rFonts w:ascii="Tahoma" w:eastAsia="Times New Roman" w:hAnsi="Tahoma" w:cs="Tahoma"/>
          <w:noProof/>
          <w:lang w:val="sr-Latn-RS"/>
        </w:rPr>
        <w:t>)</w:t>
      </w:r>
      <w:r w:rsidR="00CF2F6D">
        <w:rPr>
          <w:rFonts w:ascii="Tahoma" w:eastAsia="Times New Roman" w:hAnsi="Tahoma" w:cs="Tahoma"/>
          <w:noProof/>
          <w:lang w:val="sr-Latn-RS"/>
        </w:rPr>
        <w:t xml:space="preserve">. Prema nacrtu novog zakona o budžetskom sistemu, ova odredba o zbirnom  prikazivanju korisnika će biti </w:t>
      </w:r>
      <w:r w:rsidR="00D232F3">
        <w:rPr>
          <w:rFonts w:ascii="Tahoma" w:eastAsia="Times New Roman" w:hAnsi="Tahoma" w:cs="Tahoma"/>
          <w:noProof/>
          <w:lang w:val="sr-Latn-RS"/>
        </w:rPr>
        <w:t xml:space="preserve">mogućnost, a ne i obaveza izrađivača budžeta </w:t>
      </w:r>
    </w:p>
    <w:p w14:paraId="5909E6E4" w14:textId="77777777" w:rsidR="00541008" w:rsidRDefault="00541008" w:rsidP="00F11398">
      <w:pPr>
        <w:spacing w:after="100" w:line="240" w:lineRule="auto"/>
        <w:jc w:val="both"/>
        <w:rPr>
          <w:rFonts w:ascii="Tahoma" w:eastAsia="Times New Roman" w:hAnsi="Tahoma" w:cs="Tahoma"/>
          <w:noProof/>
          <w:lang w:val="sr-Latn-RS"/>
        </w:rPr>
      </w:pPr>
    </w:p>
    <w:p w14:paraId="1B7ADBCB" w14:textId="4755F378" w:rsidR="007F5044" w:rsidRPr="00A80733" w:rsidRDefault="00F4307D" w:rsidP="007F5044">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4. </w:t>
      </w:r>
      <w:r w:rsidR="007F5044" w:rsidRPr="007F5044">
        <w:rPr>
          <w:rFonts w:ascii="Tahoma" w:eastAsia="Times New Roman" w:hAnsi="Tahoma" w:cs="Tahoma"/>
          <w:b/>
          <w:bCs/>
          <w:noProof/>
          <w:lang w:val="sr-Latn-RS"/>
        </w:rPr>
        <w:t xml:space="preserve">Pitanje: </w:t>
      </w:r>
      <w:r w:rsidR="00A80733">
        <w:rPr>
          <w:rFonts w:ascii="Tahoma" w:eastAsia="Times New Roman" w:hAnsi="Tahoma" w:cs="Tahoma"/>
          <w:noProof/>
          <w:lang w:val="sr-Latn-RS"/>
        </w:rPr>
        <w:t xml:space="preserve">U kojem programu, programskim aktivnostima i u okviru koje funkcije treba planirati i izvršavati rashode za studentske stipendije i rashode za participaciju troškova prevoza </w:t>
      </w:r>
      <w:r w:rsidR="00F62B56">
        <w:rPr>
          <w:rFonts w:ascii="Tahoma" w:eastAsia="Times New Roman" w:hAnsi="Tahoma" w:cs="Tahoma"/>
          <w:noProof/>
          <w:lang w:val="sr-Latn-RS"/>
        </w:rPr>
        <w:t>učenika srednjih škola?</w:t>
      </w:r>
    </w:p>
    <w:p w14:paraId="534EB830" w14:textId="0EDBE4AC" w:rsidR="007F5044" w:rsidRDefault="007F5044" w:rsidP="007F5044">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sidR="00D232F3">
        <w:rPr>
          <w:rFonts w:ascii="Tahoma" w:eastAsia="Times New Roman" w:hAnsi="Tahoma" w:cs="Tahoma"/>
          <w:b/>
          <w:bCs/>
          <w:noProof/>
          <w:lang w:val="sr-Latn-RS"/>
        </w:rPr>
        <w:t xml:space="preserve"> </w:t>
      </w:r>
      <w:r w:rsidR="00D232F3">
        <w:rPr>
          <w:rFonts w:ascii="Tahoma" w:eastAsia="Times New Roman" w:hAnsi="Tahoma" w:cs="Tahoma"/>
          <w:noProof/>
          <w:lang w:val="sr-Latn-RS"/>
        </w:rPr>
        <w:t>Prikazivanje pojedinih novčanih davanja iz budžeta LS, a koj</w:t>
      </w:r>
      <w:r w:rsidR="00007A9D">
        <w:rPr>
          <w:rFonts w:ascii="Tahoma" w:eastAsia="Times New Roman" w:hAnsi="Tahoma" w:cs="Tahoma"/>
          <w:noProof/>
          <w:lang w:val="sr-Latn-RS"/>
        </w:rPr>
        <w:t>i</w:t>
      </w:r>
      <w:r w:rsidR="00D232F3">
        <w:rPr>
          <w:rFonts w:ascii="Tahoma" w:eastAsia="Times New Roman" w:hAnsi="Tahoma" w:cs="Tahoma"/>
          <w:noProof/>
          <w:lang w:val="sr-Latn-RS"/>
        </w:rPr>
        <w:t xml:space="preserve"> nisu direktno definisani konkretnim zakonskim propisima i predviđeni </w:t>
      </w:r>
      <w:r w:rsidR="00765F0C">
        <w:rPr>
          <w:rFonts w:ascii="Tahoma" w:eastAsia="Times New Roman" w:hAnsi="Tahoma" w:cs="Tahoma"/>
          <w:noProof/>
          <w:lang w:val="sr-Latn-RS"/>
        </w:rPr>
        <w:t>za finansiranje shodno</w:t>
      </w:r>
      <w:r w:rsidR="00D232F3">
        <w:rPr>
          <w:rFonts w:ascii="Tahoma" w:eastAsia="Times New Roman" w:hAnsi="Tahoma" w:cs="Tahoma"/>
          <w:noProof/>
          <w:lang w:val="sr-Latn-RS"/>
        </w:rPr>
        <w:t xml:space="preserve"> nadležnost</w:t>
      </w:r>
      <w:r w:rsidR="00765F0C">
        <w:rPr>
          <w:rFonts w:ascii="Tahoma" w:eastAsia="Times New Roman" w:hAnsi="Tahoma" w:cs="Tahoma"/>
          <w:noProof/>
          <w:lang w:val="sr-Latn-RS"/>
        </w:rPr>
        <w:t>ima</w:t>
      </w:r>
      <w:r w:rsidR="00D232F3">
        <w:rPr>
          <w:rFonts w:ascii="Tahoma" w:eastAsia="Times New Roman" w:hAnsi="Tahoma" w:cs="Tahoma"/>
          <w:noProof/>
          <w:lang w:val="sr-Latn-RS"/>
        </w:rPr>
        <w:t xml:space="preserve"> opštine/grada, vrši se u odnosu na pravni akt koji je donet od strane konkretne LS. Kada je reč o participaciji (sufinansiranju) troškova prevoza učenika srednjih škola</w:t>
      </w:r>
      <w:r w:rsidR="00765F0C">
        <w:rPr>
          <w:rFonts w:ascii="Tahoma" w:eastAsia="Times New Roman" w:hAnsi="Tahoma" w:cs="Tahoma"/>
          <w:noProof/>
          <w:lang w:val="sr-Latn-RS"/>
        </w:rPr>
        <w:t>,</w:t>
      </w:r>
      <w:r w:rsidR="00D232F3">
        <w:rPr>
          <w:rFonts w:ascii="Tahoma" w:eastAsia="Times New Roman" w:hAnsi="Tahoma" w:cs="Tahoma"/>
          <w:noProof/>
          <w:lang w:val="sr-Latn-RS"/>
        </w:rPr>
        <w:t xml:space="preserve"> </w:t>
      </w:r>
      <w:r w:rsidR="00765F0C">
        <w:rPr>
          <w:rFonts w:ascii="Tahoma" w:eastAsia="Times New Roman" w:hAnsi="Tahoma" w:cs="Tahoma"/>
          <w:noProof/>
          <w:lang w:val="sr-Latn-RS"/>
        </w:rPr>
        <w:t>Državna revizorska institucija u svojim izveštajima skre</w:t>
      </w:r>
      <w:r w:rsidR="00007A9D">
        <w:rPr>
          <w:rFonts w:ascii="Tahoma" w:eastAsia="Times New Roman" w:hAnsi="Tahoma" w:cs="Tahoma"/>
          <w:noProof/>
          <w:lang w:val="sr-Latn-RS"/>
        </w:rPr>
        <w:t>će</w:t>
      </w:r>
      <w:r w:rsidR="00765F0C">
        <w:rPr>
          <w:rFonts w:ascii="Tahoma" w:eastAsia="Times New Roman" w:hAnsi="Tahoma" w:cs="Tahoma"/>
          <w:noProof/>
          <w:lang w:val="sr-Latn-RS"/>
        </w:rPr>
        <w:t xml:space="preserve"> pažnju na činjenicu da Zakon o osnovama sistema obrazovanja i vaspitanja propisuje obezbeđivanje sredstava u budžetima JLS za prevoz: dece i njihovih pratilaca radi pohađanja pripremnog predškolskog programa na udaljenosti većoj od dva kilometra, učenika osnovne škole na udaljenosti većoj od četiri kilometra od sedišta škole, prevoz, smeštaj i ishranu dece i učenika sa smetnjama u razovju, bez obzira na udaljenost mesta stanovanja od škole, prevoz učenika na republička i međunarodna takmičenja. Međutim, LS finansiraju troškove prevoza učenika srednjih škola (participiraju u troškovima mesečnih karata), a na osnovu donetih odluka lokalnopravnog karaktera o takvima davanjima čiji pravni osnov nije u skladu sa navedenim Zakonom. Tom prilikom LS se pozivaju na tumačenja Zakona o finansijskoj podršci porodici sa decom</w:t>
      </w:r>
      <w:r w:rsidR="00682A56">
        <w:rPr>
          <w:rFonts w:ascii="Tahoma" w:eastAsia="Times New Roman" w:hAnsi="Tahoma" w:cs="Tahoma"/>
          <w:noProof/>
          <w:lang w:val="sr-Latn-RS"/>
        </w:rPr>
        <w:t>, koje je dalo nadležno Ministarstvo državne uprave i lokalne samouprave.</w:t>
      </w:r>
    </w:p>
    <w:p w14:paraId="5AA096A2" w14:textId="0B3E7027" w:rsidR="00682A56" w:rsidRDefault="00682A56" w:rsidP="007F5044">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U skladu sa prethodno navedenim, participacija u troškovima prevoza srednjoškolaca smatra se naknadom za socijalnu zaštitu iz budžeta. Istu treba planirati u okviru programa 11, programske aktivnosti 0901-0006 Podrška deci i porodicama sa decom, pod funkcionalnom klasifikacijom 040 i ekonomskom klasifikacijom 472.</w:t>
      </w:r>
    </w:p>
    <w:p w14:paraId="1E2F6678" w14:textId="21F5F949" w:rsidR="007F5044" w:rsidRDefault="00682A56" w:rsidP="00F11398">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 xml:space="preserve">Kada je reč o studentskim stipendijama potrebno je preispitati karakter tog davanja iz Odluke o stipendiranju studenata sa teritorije konkretne LS. Naime, u slučaju da se </w:t>
      </w:r>
      <w:r w:rsidR="0093502E">
        <w:rPr>
          <w:rFonts w:ascii="Tahoma" w:eastAsia="Times New Roman" w:hAnsi="Tahoma" w:cs="Tahoma"/>
          <w:noProof/>
          <w:lang w:val="sr-Latn-RS"/>
        </w:rPr>
        <w:t>prilikom rangiranja kandidata za dodelu stipendije uzima u obzir materijalno stanje porodice, onda se ovi rashodi planiraju na način, kao što je to prethodno objašnjeno, jer to davanje ima karakter naknade za socijalnu zaštitu iz budžeta</w:t>
      </w:r>
      <w:r w:rsidR="00007A9D">
        <w:rPr>
          <w:rFonts w:ascii="Tahoma" w:eastAsia="Times New Roman" w:hAnsi="Tahoma" w:cs="Tahoma"/>
          <w:noProof/>
          <w:lang w:val="sr-Latn-RS"/>
        </w:rPr>
        <w:t>.</w:t>
      </w:r>
      <w:r w:rsidR="0093502E">
        <w:rPr>
          <w:rFonts w:ascii="Tahoma" w:eastAsia="Times New Roman" w:hAnsi="Tahoma" w:cs="Tahoma"/>
          <w:noProof/>
          <w:lang w:val="sr-Latn-RS"/>
        </w:rPr>
        <w:t xml:space="preserve"> </w:t>
      </w:r>
      <w:r w:rsidR="00007A9D">
        <w:rPr>
          <w:rFonts w:ascii="Tahoma" w:eastAsia="Times New Roman" w:hAnsi="Tahoma" w:cs="Tahoma"/>
          <w:noProof/>
          <w:lang w:val="sr-Latn-RS"/>
        </w:rPr>
        <w:t>A</w:t>
      </w:r>
      <w:r w:rsidR="0093502E">
        <w:rPr>
          <w:rFonts w:ascii="Tahoma" w:eastAsia="Times New Roman" w:hAnsi="Tahoma" w:cs="Tahoma"/>
          <w:noProof/>
          <w:lang w:val="sr-Latn-RS"/>
        </w:rPr>
        <w:t xml:space="preserve"> u slučaju da prilikom bodovanja kandidata lista kriterijuma uključuje druge elemente (npr. kadrovske potrebe konkretne LS, prema evidenciji NSZ i slično) </w:t>
      </w:r>
      <w:r w:rsidR="00007A9D">
        <w:rPr>
          <w:rFonts w:ascii="Tahoma" w:eastAsia="Times New Roman" w:hAnsi="Tahoma" w:cs="Tahoma"/>
          <w:noProof/>
          <w:lang w:val="sr-Latn-RS"/>
        </w:rPr>
        <w:t xml:space="preserve">- </w:t>
      </w:r>
      <w:r w:rsidR="0093502E">
        <w:rPr>
          <w:rFonts w:ascii="Tahoma" w:eastAsia="Times New Roman" w:hAnsi="Tahoma" w:cs="Tahoma"/>
          <w:noProof/>
          <w:lang w:val="sr-Latn-RS"/>
        </w:rPr>
        <w:t>onda ove rashode treba planirati u programu 15, programske aktivnosti 0602-0001 u funkciji 960 sa ekonomskom klasifikacijom 472.</w:t>
      </w:r>
    </w:p>
    <w:p w14:paraId="0FABC9F2" w14:textId="77777777" w:rsidR="007F5044" w:rsidRDefault="007F5044" w:rsidP="00F11398">
      <w:pPr>
        <w:spacing w:after="100" w:line="240" w:lineRule="auto"/>
        <w:jc w:val="both"/>
        <w:rPr>
          <w:rFonts w:ascii="Tahoma" w:eastAsia="Times New Roman" w:hAnsi="Tahoma" w:cs="Tahoma"/>
          <w:noProof/>
          <w:lang w:val="sr-Latn-RS"/>
        </w:rPr>
      </w:pPr>
    </w:p>
    <w:p w14:paraId="57096EB1" w14:textId="7B3C6B6B" w:rsidR="007F5044" w:rsidRPr="00F62B56" w:rsidRDefault="00F4307D" w:rsidP="007F5044">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5. </w:t>
      </w:r>
      <w:r w:rsidR="007F5044" w:rsidRPr="007F5044">
        <w:rPr>
          <w:rFonts w:ascii="Tahoma" w:eastAsia="Times New Roman" w:hAnsi="Tahoma" w:cs="Tahoma"/>
          <w:b/>
          <w:bCs/>
          <w:noProof/>
          <w:lang w:val="sr-Latn-RS"/>
        </w:rPr>
        <w:t xml:space="preserve">Pitanje: </w:t>
      </w:r>
      <w:r w:rsidR="00F62B56">
        <w:rPr>
          <w:rFonts w:ascii="Tahoma" w:eastAsia="Times New Roman" w:hAnsi="Tahoma" w:cs="Tahoma"/>
          <w:noProof/>
          <w:lang w:val="sr-Latn-RS"/>
        </w:rPr>
        <w:t>U kojim programima se predlaže iskazivanje rodno odgovornih ciljeva i indikatora</w:t>
      </w:r>
      <w:r w:rsidR="00404056">
        <w:rPr>
          <w:rFonts w:ascii="Tahoma" w:eastAsia="Times New Roman" w:hAnsi="Tahoma" w:cs="Tahoma"/>
          <w:noProof/>
          <w:lang w:val="sr-Latn-RS"/>
        </w:rPr>
        <w:t xml:space="preserve"> (RoB)</w:t>
      </w:r>
      <w:r w:rsidR="00F62B56">
        <w:rPr>
          <w:rFonts w:ascii="Tahoma" w:eastAsia="Times New Roman" w:hAnsi="Tahoma" w:cs="Tahoma"/>
          <w:noProof/>
          <w:lang w:val="sr-Latn-RS"/>
        </w:rPr>
        <w:t>?</w:t>
      </w:r>
    </w:p>
    <w:p w14:paraId="1FE85CE3" w14:textId="6AAF11F8" w:rsidR="007F5044" w:rsidRDefault="007F5044" w:rsidP="007F5044">
      <w:pPr>
        <w:spacing w:after="100" w:line="240" w:lineRule="auto"/>
        <w:jc w:val="both"/>
        <w:rPr>
          <w:rFonts w:ascii="Tahoma" w:hAnsi="Tahoma" w:cs="Tahoma"/>
          <w:noProof/>
          <w:lang w:val="sr-Latn-RS"/>
        </w:rPr>
      </w:pPr>
      <w:r w:rsidRPr="007F5044">
        <w:rPr>
          <w:rFonts w:ascii="Tahoma" w:eastAsia="Times New Roman" w:hAnsi="Tahoma" w:cs="Tahoma"/>
          <w:b/>
          <w:bCs/>
          <w:noProof/>
          <w:lang w:val="sr-Latn-RS"/>
        </w:rPr>
        <w:t>Odgovor:</w:t>
      </w:r>
      <w:r w:rsidR="00AA54E4">
        <w:rPr>
          <w:rFonts w:ascii="Tahoma" w:eastAsia="Times New Roman" w:hAnsi="Tahoma" w:cs="Tahoma"/>
          <w:b/>
          <w:bCs/>
          <w:noProof/>
          <w:lang w:val="sr-Latn-RS"/>
        </w:rPr>
        <w:t xml:space="preserve"> </w:t>
      </w:r>
      <w:r w:rsidR="00AA54E4" w:rsidRPr="00AA54E4">
        <w:rPr>
          <w:rFonts w:ascii="Tahoma" w:hAnsi="Tahoma" w:cs="Tahoma"/>
          <w:noProof/>
          <w:lang w:val="sr-Latn-RS"/>
        </w:rPr>
        <w:t>Zakonska obaveza rodno odgovornog budžetiranja</w:t>
      </w:r>
      <w:r w:rsidR="00AA54E4">
        <w:rPr>
          <w:rFonts w:ascii="Tahoma" w:hAnsi="Tahoma" w:cs="Tahoma"/>
          <w:noProof/>
          <w:lang w:val="sr-Latn-RS"/>
        </w:rPr>
        <w:t xml:space="preserve"> </w:t>
      </w:r>
      <w:r w:rsidR="00AA54E4" w:rsidRPr="00AA54E4">
        <w:rPr>
          <w:rFonts w:ascii="Tahoma" w:hAnsi="Tahoma" w:cs="Tahoma"/>
          <w:noProof/>
          <w:lang w:val="sr-Latn-RS"/>
        </w:rPr>
        <w:t xml:space="preserve">proističe direktno iz Zakona o budžetskom sistemu Republike Srbije koji je najznačajniji propis koji uređuje sistem upravljanja javnim </w:t>
      </w:r>
      <w:r w:rsidR="00AA54E4">
        <w:rPr>
          <w:rFonts w:ascii="Tahoma" w:hAnsi="Tahoma" w:cs="Tahoma"/>
          <w:noProof/>
          <w:lang w:val="sr-Latn-RS"/>
        </w:rPr>
        <w:t>fi</w:t>
      </w:r>
      <w:r w:rsidR="00AA54E4" w:rsidRPr="00AA54E4">
        <w:rPr>
          <w:rFonts w:ascii="Tahoma" w:hAnsi="Tahoma" w:cs="Tahoma"/>
          <w:noProof/>
          <w:lang w:val="sr-Latn-RS"/>
        </w:rPr>
        <w:t xml:space="preserve">nansijama, od </w:t>
      </w:r>
      <w:r w:rsidR="00AA54E4" w:rsidRPr="00AA54E4">
        <w:rPr>
          <w:rFonts w:ascii="Tahoma" w:hAnsi="Tahoma" w:cs="Tahoma"/>
          <w:noProof/>
          <w:lang w:val="sr-Latn-RS"/>
        </w:rPr>
        <w:lastRenderedPageBreak/>
        <w:t>planiranja pa sve do izveštavanja o izvršenju i učinku. Ovaj nas zakon, dakle, obavezuje da investiramo resurse koje imamo na raspolaganju i na unapređenje rodne ravnopravnosti i to kontinuirano i u svim sektorima. Kako bismo resurse usmerili na otklanjanje rodnog jaza koji je prepoznat u brojnim domaćim propisima i strategijama ili proizlazi iz međunarodnih propisa i rat</w:t>
      </w:r>
      <w:r w:rsidR="00404056">
        <w:rPr>
          <w:rFonts w:ascii="Tahoma" w:hAnsi="Tahoma" w:cs="Tahoma"/>
          <w:noProof/>
          <w:lang w:val="sr-Latn-RS"/>
        </w:rPr>
        <w:t>ifi</w:t>
      </w:r>
      <w:r w:rsidR="00AA54E4" w:rsidRPr="00AA54E4">
        <w:rPr>
          <w:rFonts w:ascii="Tahoma" w:hAnsi="Tahoma" w:cs="Tahoma"/>
          <w:noProof/>
          <w:lang w:val="sr-Latn-RS"/>
        </w:rPr>
        <w:t>kovanih konvencija, važno je da znamo koji su prioriteti i koje su rodne politike usvojene. Rodna politika proističe iz više dokumenata</w:t>
      </w:r>
      <w:r w:rsidR="00404056">
        <w:rPr>
          <w:rFonts w:ascii="Tahoma" w:hAnsi="Tahoma" w:cs="Tahoma"/>
          <w:noProof/>
          <w:lang w:val="sr-Latn-RS"/>
        </w:rPr>
        <w:t>,</w:t>
      </w:r>
      <w:r w:rsidR="00AA54E4" w:rsidRPr="00AA54E4">
        <w:rPr>
          <w:rFonts w:ascii="Tahoma" w:hAnsi="Tahoma" w:cs="Tahoma"/>
          <w:noProof/>
          <w:lang w:val="sr-Latn-RS"/>
        </w:rPr>
        <w:t xml:space="preserve"> a najznačajniji su Strategija za unapređenje rodne ravnopravnosti i Nacionalni akcioni plan (u kojem se nalazi spisak i drugih važećih propisa i dokumenata). Za lokalni nivo tu su lokalne razvojne i druge usvojene strategije i planovi, a naročito Lokalni akcioni plan za rodnu ravnopravnost usvojen na nivou jedinice lokalne samouprave.</w:t>
      </w:r>
      <w:r w:rsidR="00404056">
        <w:rPr>
          <w:rFonts w:ascii="Tahoma" w:hAnsi="Tahoma" w:cs="Tahoma"/>
          <w:noProof/>
          <w:lang w:val="sr-Latn-RS"/>
        </w:rPr>
        <w:t xml:space="preserve"> Taj akcioni plan </w:t>
      </w:r>
      <w:r w:rsidR="00404056" w:rsidRPr="00404056">
        <w:rPr>
          <w:rFonts w:ascii="Tahoma" w:hAnsi="Tahoma" w:cs="Tahoma"/>
          <w:noProof/>
          <w:lang w:val="sr-Latn-RS"/>
        </w:rPr>
        <w:t>da obuhvati svih 17 budžetskih programa (koliko ih trenutno ima) jedinica lokalne samouprave tako da se d</w:t>
      </w:r>
      <w:r w:rsidR="00404056">
        <w:rPr>
          <w:rFonts w:ascii="Tahoma" w:hAnsi="Tahoma" w:cs="Tahoma"/>
          <w:noProof/>
          <w:lang w:val="sr-Latn-RS"/>
        </w:rPr>
        <w:t>efi</w:t>
      </w:r>
      <w:r w:rsidR="00404056" w:rsidRPr="00404056">
        <w:rPr>
          <w:rFonts w:ascii="Tahoma" w:hAnsi="Tahoma" w:cs="Tahoma"/>
          <w:noProof/>
          <w:lang w:val="sr-Latn-RS"/>
        </w:rPr>
        <w:t>niše šta bi sve mogle da budu intervencije koje doprinose rodnoj ravnopravnosti u svakom budžetskom programu.</w:t>
      </w:r>
      <w:r w:rsidR="00404056">
        <w:rPr>
          <w:rFonts w:ascii="Tahoma" w:hAnsi="Tahoma" w:cs="Tahoma"/>
          <w:noProof/>
          <w:lang w:val="sr-Latn-RS"/>
        </w:rPr>
        <w:t xml:space="preserve"> Definisanje rodno odgovornih ciljeva i indikatora na nivou programa i programske aktivnosti izgledalo na sledeći način:</w:t>
      </w:r>
    </w:p>
    <w:p w14:paraId="15D46F42" w14:textId="0146675E" w:rsidR="00404056" w:rsidRPr="00404056" w:rsidRDefault="00404056" w:rsidP="007F5044">
      <w:pPr>
        <w:spacing w:after="100" w:line="240" w:lineRule="auto"/>
        <w:jc w:val="both"/>
        <w:rPr>
          <w:rFonts w:ascii="Tahoma" w:hAnsi="Tahoma" w:cs="Tahoma"/>
          <w:noProof/>
          <w:lang w:val="sr-Latn-RS"/>
        </w:rPr>
      </w:pPr>
      <w:r w:rsidRPr="00404056">
        <w:rPr>
          <w:rFonts w:ascii="Tahoma" w:hAnsi="Tahoma" w:cs="Tahoma"/>
          <w:noProof/>
          <w:lang w:val="sr-Latn-RS"/>
        </w:rPr>
        <w:t>R</w:t>
      </w:r>
      <w:r>
        <w:rPr>
          <w:rFonts w:ascii="Tahoma" w:hAnsi="Tahoma" w:cs="Tahoma"/>
          <w:noProof/>
          <w:lang w:val="sr-Latn-RS"/>
        </w:rPr>
        <w:t>o</w:t>
      </w:r>
      <w:r w:rsidRPr="00404056">
        <w:rPr>
          <w:rFonts w:ascii="Tahoma" w:hAnsi="Tahoma" w:cs="Tahoma"/>
          <w:noProof/>
          <w:lang w:val="sr-Latn-RS"/>
        </w:rPr>
        <w:t xml:space="preserve">B cilj: Unapređenje rodne ravnopravnosti u oblasti (pa zavisi koji je program u pitanju) </w:t>
      </w:r>
    </w:p>
    <w:p w14:paraId="5888AC73" w14:textId="40C2B2E7" w:rsidR="00404056" w:rsidRDefault="00404056" w:rsidP="007F5044">
      <w:pPr>
        <w:spacing w:after="100" w:line="240" w:lineRule="auto"/>
        <w:jc w:val="both"/>
        <w:rPr>
          <w:rFonts w:ascii="Tahoma" w:hAnsi="Tahoma" w:cs="Tahoma"/>
          <w:noProof/>
          <w:lang w:val="sr-Latn-RS"/>
        </w:rPr>
      </w:pPr>
      <w:r w:rsidRPr="00404056">
        <w:rPr>
          <w:rFonts w:ascii="Tahoma" w:hAnsi="Tahoma" w:cs="Tahoma"/>
          <w:noProof/>
          <w:lang w:val="sr-Latn-RS"/>
        </w:rPr>
        <w:t>R</w:t>
      </w:r>
      <w:r>
        <w:rPr>
          <w:rFonts w:ascii="Tahoma" w:hAnsi="Tahoma" w:cs="Tahoma"/>
          <w:noProof/>
          <w:lang w:val="sr-Latn-RS"/>
        </w:rPr>
        <w:t>o</w:t>
      </w:r>
      <w:r w:rsidRPr="00404056">
        <w:rPr>
          <w:rFonts w:ascii="Tahoma" w:hAnsi="Tahoma" w:cs="Tahoma"/>
          <w:noProof/>
          <w:lang w:val="sr-Latn-RS"/>
        </w:rPr>
        <w:t xml:space="preserve">B indikator/pokazatelj učinka: indikator (ili pokazatelj učinka) će meriti promenu u toj oblasti koju ste odredili da želite da postignete (na nivou programa dugoročniji) odnosno šta očekujemo da postignemo tokom više godina, a na nivou programske aktivnosti ili projekta ono tačno što ćete </w:t>
      </w:r>
      <w:r>
        <w:rPr>
          <w:rFonts w:ascii="Tahoma" w:hAnsi="Tahoma" w:cs="Tahoma"/>
          <w:noProof/>
          <w:lang w:val="sr-Latn-RS"/>
        </w:rPr>
        <w:t>fi</w:t>
      </w:r>
      <w:r w:rsidRPr="00404056">
        <w:rPr>
          <w:rFonts w:ascii="Tahoma" w:hAnsi="Tahoma" w:cs="Tahoma"/>
          <w:noProof/>
          <w:lang w:val="sr-Latn-RS"/>
        </w:rPr>
        <w:t>nansirati te godine i na šta kao JLS imate direktan uticaj, tj. ono što ćete meriti i kasnije izvestiti.</w:t>
      </w:r>
    </w:p>
    <w:p w14:paraId="1DC3107C" w14:textId="74CCBD2E" w:rsidR="00404056" w:rsidRPr="00404056" w:rsidRDefault="00404056" w:rsidP="007F5044">
      <w:pPr>
        <w:spacing w:after="100" w:line="240" w:lineRule="auto"/>
        <w:jc w:val="both"/>
        <w:rPr>
          <w:rFonts w:ascii="Tahoma" w:eastAsia="Times New Roman" w:hAnsi="Tahoma" w:cs="Tahoma"/>
          <w:noProof/>
          <w:lang w:val="sr-Latn-RS"/>
        </w:rPr>
      </w:pPr>
      <w:r>
        <w:rPr>
          <w:rFonts w:ascii="Tahoma" w:hAnsi="Tahoma" w:cs="Tahoma"/>
          <w:noProof/>
          <w:lang w:val="sr-Latn-RS"/>
        </w:rPr>
        <w:t xml:space="preserve">Prema važećim zakonskim odredbama RoB dakle obuhvata sve budžetske programe predviđene za nivo lokala, međutim treba težiti ka utvrđivanju rodno odgovornih ciljeva i indikatora, gde to ima smisla uraditi i naravno postoji mogućnost i potencijal za njihovo prećenje i merenje. </w:t>
      </w:r>
      <w:r w:rsidR="003B3D1C">
        <w:rPr>
          <w:rFonts w:ascii="Tahoma" w:hAnsi="Tahoma" w:cs="Tahoma"/>
          <w:noProof/>
          <w:lang w:val="sr-Latn-RS"/>
        </w:rPr>
        <w:t xml:space="preserve">U skladu sa instruktivnim materijalima koje je SKGO pripremala, to bi bili </w:t>
      </w:r>
      <w:r>
        <w:rPr>
          <w:rFonts w:ascii="Tahoma" w:hAnsi="Tahoma" w:cs="Tahoma"/>
          <w:noProof/>
          <w:lang w:val="sr-Latn-RS"/>
        </w:rPr>
        <w:t>programi 8, 9, 10, 11, 12, 13 i 14.</w:t>
      </w:r>
      <w:r w:rsidR="003B3D1C">
        <w:rPr>
          <w:rFonts w:ascii="Tahoma" w:hAnsi="Tahoma" w:cs="Tahoma"/>
          <w:noProof/>
          <w:lang w:val="sr-Latn-RS"/>
        </w:rPr>
        <w:t xml:space="preserve"> Za same materijale i konkretne primere, pogledajte odeljak o ROB na: </w:t>
      </w:r>
      <w:hyperlink r:id="rId7" w:history="1">
        <w:r w:rsidR="003B3D1C" w:rsidRPr="008D6DD9">
          <w:rPr>
            <w:rStyle w:val="Hyperlink"/>
            <w:rFonts w:ascii="Tahoma" w:hAnsi="Tahoma" w:cs="Tahoma"/>
            <w:noProof/>
            <w:lang w:val="sr-Latn-RS"/>
          </w:rPr>
          <w:t>http://www.skgo.org/strane/225</w:t>
        </w:r>
      </w:hyperlink>
      <w:r w:rsidR="003B3D1C">
        <w:rPr>
          <w:rFonts w:ascii="Tahoma" w:hAnsi="Tahoma" w:cs="Tahoma"/>
          <w:noProof/>
          <w:lang w:val="sr-Latn-RS"/>
        </w:rPr>
        <w:t xml:space="preserve"> </w:t>
      </w:r>
    </w:p>
    <w:p w14:paraId="39577016" w14:textId="3040291D" w:rsidR="007F5044" w:rsidRDefault="007F5044" w:rsidP="00F11398">
      <w:pPr>
        <w:spacing w:after="100" w:line="240" w:lineRule="auto"/>
        <w:jc w:val="both"/>
        <w:rPr>
          <w:rFonts w:ascii="Tahoma" w:eastAsia="Times New Roman" w:hAnsi="Tahoma" w:cs="Tahoma"/>
          <w:noProof/>
          <w:lang w:val="sr-Latn-RS"/>
        </w:rPr>
      </w:pPr>
    </w:p>
    <w:p w14:paraId="7A8F9A36" w14:textId="723EBF92" w:rsidR="002541A0" w:rsidRDefault="00F4307D" w:rsidP="002541A0">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6. </w:t>
      </w:r>
      <w:r w:rsidR="007F5044" w:rsidRPr="007F5044">
        <w:rPr>
          <w:rFonts w:ascii="Tahoma" w:eastAsia="Times New Roman" w:hAnsi="Tahoma" w:cs="Tahoma"/>
          <w:b/>
          <w:bCs/>
          <w:noProof/>
          <w:lang w:val="sr-Latn-RS"/>
        </w:rPr>
        <w:t>Pitanje:</w:t>
      </w:r>
      <w:r w:rsidR="00F62B56">
        <w:rPr>
          <w:rFonts w:ascii="Tahoma" w:eastAsia="Times New Roman" w:hAnsi="Tahoma" w:cs="Tahoma"/>
          <w:b/>
          <w:bCs/>
          <w:noProof/>
          <w:lang w:val="sr-Latn-RS"/>
        </w:rPr>
        <w:t xml:space="preserve"> </w:t>
      </w:r>
      <w:r w:rsidR="00F62B56">
        <w:rPr>
          <w:rFonts w:ascii="Tahoma" w:eastAsia="Times New Roman" w:hAnsi="Tahoma" w:cs="Tahoma"/>
          <w:noProof/>
          <w:lang w:val="sr-Latn-RS"/>
        </w:rPr>
        <w:t xml:space="preserve">Kako planirati rashode za izradu plana preventivnih mera kod pojedinih kapitalnih izdataka, kada se unapred </w:t>
      </w:r>
      <w:r w:rsidR="00331112">
        <w:rPr>
          <w:rFonts w:ascii="Tahoma" w:eastAsia="Times New Roman" w:hAnsi="Tahoma" w:cs="Tahoma"/>
          <w:noProof/>
          <w:lang w:val="sr-Latn-RS"/>
        </w:rPr>
        <w:t xml:space="preserve">(pre okončanja postupka javne nabavke) </w:t>
      </w:r>
      <w:r w:rsidR="00F62B56">
        <w:rPr>
          <w:rFonts w:ascii="Tahoma" w:eastAsia="Times New Roman" w:hAnsi="Tahoma" w:cs="Tahoma"/>
          <w:noProof/>
          <w:lang w:val="sr-Latn-RS"/>
        </w:rPr>
        <w:t xml:space="preserve">ne zna da li će izvođač radova sam, </w:t>
      </w:r>
      <w:r w:rsidR="00331112">
        <w:rPr>
          <w:rFonts w:ascii="Tahoma" w:eastAsia="Times New Roman" w:hAnsi="Tahoma" w:cs="Tahoma"/>
          <w:noProof/>
          <w:lang w:val="sr-Latn-RS"/>
        </w:rPr>
        <w:t>sa podizvođačima ili kao grupa ponuđača realizovati izgradnju/sanaciju na nekoj nepokretnosti u svojini LS?</w:t>
      </w:r>
    </w:p>
    <w:p w14:paraId="545753BE" w14:textId="57F07E26" w:rsidR="002541A0" w:rsidRDefault="007F5044" w:rsidP="002541A0">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sidR="002541A0">
        <w:rPr>
          <w:rFonts w:ascii="Tahoma" w:eastAsia="Times New Roman" w:hAnsi="Tahoma" w:cs="Tahoma"/>
          <w:b/>
          <w:bCs/>
          <w:noProof/>
          <w:lang w:val="sr-Latn-RS"/>
        </w:rPr>
        <w:t xml:space="preserve"> </w:t>
      </w:r>
      <w:r w:rsidR="002541A0" w:rsidRPr="002541A0">
        <w:rPr>
          <w:rFonts w:ascii="Tahoma" w:eastAsia="Times New Roman" w:hAnsi="Tahoma" w:cs="Tahoma"/>
          <w:noProof/>
          <w:lang w:val="sr-Latn-RS"/>
        </w:rPr>
        <w:t>I</w:t>
      </w:r>
      <w:r w:rsidR="002541A0" w:rsidRPr="002541A0">
        <w:rPr>
          <w:rFonts w:ascii="Tahoma" w:hAnsi="Tahoma" w:cs="Tahoma"/>
          <w:noProof/>
          <w:lang w:val="sr-Latn-RS"/>
        </w:rPr>
        <w:t>nvestitor, odnosno zastupnik investitora je dužan da odredi jednog ili više koordinatora za izradu projekta i jednog ili više koordinatora za izvođenje radova kada na gradilištu izvode ili je predviđeno da će radove izvoditi dva ili više izvođača radova istovremeno. Obaveze investitora, odnosno zastupnika investitora ne odnose se na izgradnju objekata površine do 300 m2, osim u slučajevima kada se izvode radovi navedeni u Pregledu radova pri kojima se pojavljuje specifičan rizik od nastanka povreda i oštećenja zdravlja zaposlenih ili je pri izgradnji takvog objekta potrebna Prijava gradilišta.</w:t>
      </w:r>
      <w:r w:rsidR="002541A0">
        <w:rPr>
          <w:rFonts w:ascii="Tahoma" w:eastAsia="Times New Roman" w:hAnsi="Tahoma" w:cs="Tahoma"/>
          <w:noProof/>
          <w:lang w:val="sr-Latn-RS"/>
        </w:rPr>
        <w:t xml:space="preserve"> </w:t>
      </w:r>
      <w:r w:rsidR="002541A0" w:rsidRPr="002541A0">
        <w:rPr>
          <w:rFonts w:ascii="Tahoma" w:eastAsia="Times New Roman" w:hAnsi="Tahoma" w:cs="Tahoma"/>
          <w:noProof/>
          <w:lang w:val="sr-Latn-RS"/>
        </w:rPr>
        <w:t>Za koordinatora za izradu projekta može biti određeno lice koje ima položen stručni ispit za obavljanje poslova koordinatora za izradu projekta.</w:t>
      </w:r>
      <w:r w:rsidR="002541A0">
        <w:rPr>
          <w:rFonts w:ascii="Tahoma" w:eastAsia="Times New Roman" w:hAnsi="Tahoma" w:cs="Tahoma"/>
          <w:noProof/>
          <w:lang w:val="sr-Latn-RS"/>
        </w:rPr>
        <w:t xml:space="preserve"> </w:t>
      </w:r>
      <w:r w:rsidR="002541A0" w:rsidRPr="002541A0">
        <w:rPr>
          <w:rFonts w:ascii="Tahoma" w:eastAsia="Times New Roman" w:hAnsi="Tahoma" w:cs="Tahoma"/>
          <w:noProof/>
          <w:lang w:val="sr-Latn-RS"/>
        </w:rPr>
        <w:t>Plan preventivnih mera i tehnička dokumentacija za izgradnju objekta u skladu sa propisima o planiranju i izgradnji čine osnovu za procenu rizika od nastanka povreda i oštećenja zdravlja na radnim mestima i u radnoj okolini na predmetnom gradilištu.</w:t>
      </w:r>
    </w:p>
    <w:p w14:paraId="402462BA" w14:textId="2E0C8F3A" w:rsidR="002541A0" w:rsidRPr="002541A0" w:rsidRDefault="0086782B" w:rsidP="002541A0">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P</w:t>
      </w:r>
      <w:r w:rsidR="002541A0">
        <w:rPr>
          <w:rFonts w:ascii="Tahoma" w:eastAsia="Times New Roman" w:hAnsi="Tahoma" w:cs="Tahoma"/>
          <w:noProof/>
          <w:lang w:val="sr-Latn-RS"/>
        </w:rPr>
        <w:t>rilikom planiranja kapitalnog investicionog rashoda u vidu projekta u programskom budžetu opštine ili grada, a na osnovu koje se sastavlja plan javnih nabavki za radove i vrši se sprovođenje samog postupka nabavke, nije moguće imati informaciju o budućem izvođaču</w:t>
      </w:r>
      <w:r>
        <w:rPr>
          <w:rFonts w:ascii="Tahoma" w:eastAsia="Times New Roman" w:hAnsi="Tahoma" w:cs="Tahoma"/>
          <w:noProof/>
          <w:lang w:val="sr-Latn-RS"/>
        </w:rPr>
        <w:t xml:space="preserve"> radova</w:t>
      </w:r>
      <w:r w:rsidR="002541A0">
        <w:rPr>
          <w:rFonts w:ascii="Tahoma" w:eastAsia="Times New Roman" w:hAnsi="Tahoma" w:cs="Tahoma"/>
          <w:noProof/>
          <w:lang w:val="sr-Latn-RS"/>
        </w:rPr>
        <w:t xml:space="preserve"> (izvođačima, konzorcijumu, grupi ponuđača, podizvođačima). Ukoliko u postupku javne nabavke za radove bude izabrani ponuđač koji angažuje podizvođače ili grupa ponuđača, to automatski uslovljava potrebu za angažovanjem koordinatora i izradu plana preventivnih mera</w:t>
      </w:r>
      <w:r>
        <w:rPr>
          <w:rFonts w:ascii="Tahoma" w:eastAsia="Times New Roman" w:hAnsi="Tahoma" w:cs="Tahoma"/>
          <w:noProof/>
          <w:lang w:val="sr-Latn-RS"/>
        </w:rPr>
        <w:t xml:space="preserve"> prema prethodno opisanom</w:t>
      </w:r>
      <w:r w:rsidR="002541A0">
        <w:rPr>
          <w:rFonts w:ascii="Tahoma" w:eastAsia="Times New Roman" w:hAnsi="Tahoma" w:cs="Tahoma"/>
          <w:noProof/>
          <w:lang w:val="sr-Latn-RS"/>
        </w:rPr>
        <w:t xml:space="preserve">. Ove rashode nije </w:t>
      </w:r>
      <w:r>
        <w:rPr>
          <w:rFonts w:ascii="Tahoma" w:eastAsia="Times New Roman" w:hAnsi="Tahoma" w:cs="Tahoma"/>
          <w:noProof/>
          <w:lang w:val="sr-Latn-RS"/>
        </w:rPr>
        <w:t xml:space="preserve">(bilo) </w:t>
      </w:r>
      <w:r w:rsidR="002541A0">
        <w:rPr>
          <w:rFonts w:ascii="Tahoma" w:eastAsia="Times New Roman" w:hAnsi="Tahoma" w:cs="Tahoma"/>
          <w:noProof/>
          <w:lang w:val="sr-Latn-RS"/>
        </w:rPr>
        <w:t xml:space="preserve">moguće planirati na nivou projekta i ekonomske klasifikacije 5114 – Projektno planiranje, ali zbog evidentne obaveze </w:t>
      </w:r>
      <w:r w:rsidR="002541A0">
        <w:rPr>
          <w:rFonts w:ascii="Tahoma" w:eastAsia="Times New Roman" w:hAnsi="Tahoma" w:cs="Tahoma"/>
          <w:noProof/>
          <w:lang w:val="sr-Latn-RS"/>
        </w:rPr>
        <w:lastRenderedPageBreak/>
        <w:t xml:space="preserve">angažovanja i izrade </w:t>
      </w:r>
      <w:r w:rsidR="00DD3327">
        <w:rPr>
          <w:rFonts w:ascii="Tahoma" w:eastAsia="Times New Roman" w:hAnsi="Tahoma" w:cs="Tahoma"/>
          <w:noProof/>
          <w:lang w:val="sr-Latn-RS"/>
        </w:rPr>
        <w:t xml:space="preserve">u konkretnim situacijama </w:t>
      </w:r>
      <w:r w:rsidR="002541A0">
        <w:rPr>
          <w:rFonts w:ascii="Tahoma" w:eastAsia="Times New Roman" w:hAnsi="Tahoma" w:cs="Tahoma"/>
          <w:noProof/>
          <w:lang w:val="sr-Latn-RS"/>
        </w:rPr>
        <w:t xml:space="preserve">predlaže se nabavka usluge izrade plana preventivnih mera i angažovanje koordinatora </w:t>
      </w:r>
      <w:r w:rsidR="00DD3327">
        <w:rPr>
          <w:rFonts w:ascii="Tahoma" w:eastAsia="Times New Roman" w:hAnsi="Tahoma" w:cs="Tahoma"/>
          <w:noProof/>
          <w:lang w:val="sr-Latn-RS"/>
        </w:rPr>
        <w:t>preko ekonomske klasifikacije 424 – Specijalizovane usluge. U slučaju da se koristi tekuća budžetska rezerva za otvaranje nove aproprijacije, onda se predlaže otvaranje nove pozicije u okviru predmetnog projekta kapitalnog investicionog poduhvata sa ekonomskom klasifikacijom 424, a ukoliko se koristi postojeći finansijski plan konkretn</w:t>
      </w:r>
      <w:r>
        <w:rPr>
          <w:rFonts w:ascii="Tahoma" w:eastAsia="Times New Roman" w:hAnsi="Tahoma" w:cs="Tahoma"/>
          <w:noProof/>
          <w:lang w:val="sr-Latn-RS"/>
        </w:rPr>
        <w:t>og programa</w:t>
      </w:r>
      <w:r w:rsidR="00DD3327">
        <w:rPr>
          <w:rFonts w:ascii="Tahoma" w:eastAsia="Times New Roman" w:hAnsi="Tahoma" w:cs="Tahoma"/>
          <w:noProof/>
          <w:lang w:val="sr-Latn-RS"/>
        </w:rPr>
        <w:t xml:space="preserve">, onda se preporučuje izvršenje ovog rashoda preko programske aktivnosti </w:t>
      </w:r>
      <w:r>
        <w:rPr>
          <w:rFonts w:ascii="Tahoma" w:eastAsia="Times New Roman" w:hAnsi="Tahoma" w:cs="Tahoma"/>
          <w:noProof/>
          <w:lang w:val="sr-Latn-RS"/>
        </w:rPr>
        <w:t xml:space="preserve">u okviru tog programa </w:t>
      </w:r>
      <w:r w:rsidR="00DD3327">
        <w:rPr>
          <w:rFonts w:ascii="Tahoma" w:eastAsia="Times New Roman" w:hAnsi="Tahoma" w:cs="Tahoma"/>
          <w:noProof/>
          <w:lang w:val="sr-Latn-RS"/>
        </w:rPr>
        <w:t>i ekonomske klasifikacije 424.</w:t>
      </w:r>
    </w:p>
    <w:p w14:paraId="3F05D252" w14:textId="77777777" w:rsidR="0086782B" w:rsidRDefault="0086782B" w:rsidP="00F11398">
      <w:pPr>
        <w:spacing w:after="100" w:line="240" w:lineRule="auto"/>
        <w:jc w:val="both"/>
        <w:rPr>
          <w:rFonts w:ascii="Tahoma" w:eastAsia="Times New Roman" w:hAnsi="Tahoma" w:cs="Tahoma"/>
          <w:noProof/>
          <w:lang w:val="sr-Latn-RS"/>
        </w:rPr>
      </w:pPr>
    </w:p>
    <w:p w14:paraId="64172570" w14:textId="0C6B8B00" w:rsidR="007F5044" w:rsidRPr="00331112" w:rsidRDefault="00F4307D" w:rsidP="007F5044">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7. </w:t>
      </w:r>
      <w:r w:rsidR="007F5044" w:rsidRPr="007F5044">
        <w:rPr>
          <w:rFonts w:ascii="Tahoma" w:eastAsia="Times New Roman" w:hAnsi="Tahoma" w:cs="Tahoma"/>
          <w:b/>
          <w:bCs/>
          <w:noProof/>
          <w:lang w:val="sr-Latn-RS"/>
        </w:rPr>
        <w:t xml:space="preserve">Pitanje: </w:t>
      </w:r>
      <w:r w:rsidR="00331112">
        <w:rPr>
          <w:rFonts w:ascii="Tahoma" w:eastAsia="Times New Roman" w:hAnsi="Tahoma" w:cs="Tahoma"/>
          <w:noProof/>
          <w:lang w:val="sr-Latn-RS"/>
        </w:rPr>
        <w:t>Ko je odgovoran i zadužen za formulisanje ciljeva i indikatora pojedinih planiranih kapitalnih projekata u budžetu LS?</w:t>
      </w:r>
    </w:p>
    <w:p w14:paraId="71D2BE92" w14:textId="31717468" w:rsidR="00752127" w:rsidRDefault="007F5044" w:rsidP="007F5044">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sidR="00A44D29">
        <w:rPr>
          <w:rFonts w:ascii="Tahoma" w:eastAsia="Times New Roman" w:hAnsi="Tahoma" w:cs="Tahoma"/>
          <w:b/>
          <w:bCs/>
          <w:noProof/>
          <w:lang w:val="sr-Latn-RS"/>
        </w:rPr>
        <w:t xml:space="preserve"> </w:t>
      </w:r>
      <w:r w:rsidR="00A44D29">
        <w:rPr>
          <w:rFonts w:ascii="Tahoma" w:eastAsia="Times New Roman" w:hAnsi="Tahoma" w:cs="Tahoma"/>
          <w:noProof/>
          <w:lang w:val="sr-Latn-RS"/>
        </w:rPr>
        <w:t xml:space="preserve">Odluka o budžetu opštine/grada se sastoji od tri dela: opšteg, posebnog dela i obrazloženja. Obrazloženje budžeta prema Zakonu o budžetskom sistemu se sastoji od obrazloženje opšteg dela budžeta i programskih informacija. Prema Uputstvu za izradu programskog budžeta </w:t>
      </w:r>
      <w:r w:rsidR="00A67A35">
        <w:rPr>
          <w:rFonts w:ascii="Tahoma" w:eastAsia="Times New Roman" w:hAnsi="Tahoma" w:cs="Tahoma"/>
          <w:noProof/>
          <w:lang w:val="sr-Latn-RS"/>
        </w:rPr>
        <w:t xml:space="preserve">programi, programske aktivnosti kao i projekti treba da sadrže tačno određene podatke i to u programskim informacijama u obrazloženju odluke o budžetu. Jedan od tih podataka i „odgovorno lice“ za program, programsku aktivnost i projekat. Na nivou projekta, odgovorno lice je osoba iz srednje upravljačke strukture (načelnik odeljenja, rukovodilac službe ili odseka) koja upravlja, nadzire i koordiniše sprovođenje konkretnog projekta. Izuzetno je važno, da prilikom predlaganja projekta za finansiranje iz budžeta LS bude određeno i odgovorno lice projekata, koji ujedno i odgovara i zadužen je za formulisanje cilja tog projekta i utvrđuje indikator, odnosno ciljanu vrednost koju treba ostvariti realizacijom konkretnog projekta (odgovara i za izveštavanje o statusu projekta, ostvarenim rezultatima, za eventualna odstupanja u realizaciji i doprinosu projekta cilju konkretnog programa iz budžeta LS). </w:t>
      </w:r>
      <w:r w:rsidR="00752127">
        <w:rPr>
          <w:rFonts w:ascii="Tahoma" w:eastAsia="Times New Roman" w:hAnsi="Tahoma" w:cs="Tahoma"/>
          <w:noProof/>
          <w:lang w:val="sr-Latn-RS"/>
        </w:rPr>
        <w:t xml:space="preserve">To lice iz srednje upravljačke strukture treba da bude lice koji pripada organizacionoj jedinici koja je zadužena za konkretan program na nivou LS </w:t>
      </w:r>
      <w:r w:rsidR="004D40C5">
        <w:rPr>
          <w:rFonts w:ascii="Tahoma" w:eastAsia="Times New Roman" w:hAnsi="Tahoma" w:cs="Tahoma"/>
          <w:noProof/>
          <w:lang w:val="sr-Latn-RS"/>
        </w:rPr>
        <w:t>[</w:t>
      </w:r>
      <w:r w:rsidR="00752127">
        <w:rPr>
          <w:rFonts w:ascii="Tahoma" w:eastAsia="Times New Roman" w:hAnsi="Tahoma" w:cs="Tahoma"/>
          <w:noProof/>
          <w:lang w:val="sr-Latn-RS"/>
        </w:rPr>
        <w:t>(npr. načelnik/rukovodilac odeljenja za društvene delatnosti za projekat rekonstrukcije školske zgrade ili objekta predškolstva, ili načelnik/rukovodilac odeljenja za privredu i lokalni ekonomski razvoj za projekat izradnje objekta kojim se pospešuje turistički potencijal konkrente LS predviđenog u programu 4. Ne preporučuje se za odgovornog lic</w:t>
      </w:r>
      <w:r w:rsidR="004D40C5">
        <w:rPr>
          <w:rFonts w:ascii="Tahoma" w:eastAsia="Times New Roman" w:hAnsi="Tahoma" w:cs="Tahoma"/>
          <w:noProof/>
          <w:lang w:val="sr-Latn-RS"/>
        </w:rPr>
        <w:t>e</w:t>
      </w:r>
      <w:r w:rsidR="00752127">
        <w:rPr>
          <w:rFonts w:ascii="Tahoma" w:eastAsia="Times New Roman" w:hAnsi="Tahoma" w:cs="Tahoma"/>
          <w:noProof/>
          <w:lang w:val="sr-Latn-RS"/>
        </w:rPr>
        <w:t xml:space="preserve"> projekta odrediti lice iz organizacione jedinice zadužene za poslove investicija (građevinskog inženjera)</w:t>
      </w:r>
      <w:r w:rsidR="004D40C5">
        <w:rPr>
          <w:rFonts w:ascii="Tahoma" w:eastAsia="Times New Roman" w:hAnsi="Tahoma" w:cs="Tahoma"/>
          <w:noProof/>
          <w:lang w:val="sr-Latn-RS"/>
        </w:rPr>
        <w:t>]</w:t>
      </w:r>
      <w:r w:rsidR="00752127">
        <w:rPr>
          <w:rFonts w:ascii="Tahoma" w:eastAsia="Times New Roman" w:hAnsi="Tahoma" w:cs="Tahoma"/>
          <w:noProof/>
          <w:lang w:val="sr-Latn-RS"/>
        </w:rPr>
        <w:t>.</w:t>
      </w:r>
    </w:p>
    <w:p w14:paraId="67041ADE" w14:textId="4A57010B" w:rsidR="007F5044" w:rsidRPr="00A44D29" w:rsidRDefault="00752127" w:rsidP="007F5044">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 xml:space="preserve">Ciljeve i indikatore na nivou projekata treba harmonizovati sa ciljevima samog programa, gde su ti projekti i predviđeni budžetom LS (jer oni praktično doprinose ostvarenju cilja programa kao celine),  </w:t>
      </w:r>
      <w:r w:rsidR="00676452">
        <w:rPr>
          <w:rFonts w:ascii="Tahoma" w:eastAsia="Times New Roman" w:hAnsi="Tahoma" w:cs="Tahoma"/>
          <w:noProof/>
          <w:lang w:val="sr-Latn-RS"/>
        </w:rPr>
        <w:t xml:space="preserve">a to je ujedno i argument pri određivanju odgovornog lica za formulisanje ciljeva i indikatora planiranih kapitalnih projekata. </w:t>
      </w:r>
    </w:p>
    <w:p w14:paraId="45803FAA" w14:textId="2387A70B" w:rsidR="007F5044" w:rsidRDefault="007F5044" w:rsidP="00F11398">
      <w:pPr>
        <w:spacing w:after="100" w:line="240" w:lineRule="auto"/>
        <w:jc w:val="both"/>
        <w:rPr>
          <w:rFonts w:ascii="Tahoma" w:eastAsia="Times New Roman" w:hAnsi="Tahoma" w:cs="Tahoma"/>
          <w:noProof/>
          <w:lang w:val="sr-Latn-RS"/>
        </w:rPr>
      </w:pPr>
    </w:p>
    <w:p w14:paraId="37FEC91C" w14:textId="4BA974F8" w:rsidR="007F5044" w:rsidRPr="00331112" w:rsidRDefault="00F4307D" w:rsidP="007F5044">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8. </w:t>
      </w:r>
      <w:r w:rsidR="007F5044" w:rsidRPr="007F5044">
        <w:rPr>
          <w:rFonts w:ascii="Tahoma" w:eastAsia="Times New Roman" w:hAnsi="Tahoma" w:cs="Tahoma"/>
          <w:b/>
          <w:bCs/>
          <w:noProof/>
          <w:lang w:val="sr-Latn-RS"/>
        </w:rPr>
        <w:t xml:space="preserve">Pitanje: </w:t>
      </w:r>
      <w:r w:rsidR="00331112">
        <w:rPr>
          <w:rFonts w:ascii="Tahoma" w:eastAsia="Times New Roman" w:hAnsi="Tahoma" w:cs="Tahoma"/>
          <w:noProof/>
          <w:lang w:val="sr-Latn-RS"/>
        </w:rPr>
        <w:t>Koji su osnovni principi otvaranja novih programskih aktivnosti u budžetu LS (umesto ili pored korišćenja uniformnih programskih aktivnosti prema Aneksu 5 Uputstva za izradu programskog budžeta?</w:t>
      </w:r>
    </w:p>
    <w:p w14:paraId="313879DC" w14:textId="77777777" w:rsidR="00472C9A" w:rsidRDefault="007F5044" w:rsidP="00676452">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sidR="00676452">
        <w:rPr>
          <w:rFonts w:ascii="Tahoma" w:eastAsia="Times New Roman" w:hAnsi="Tahoma" w:cs="Tahoma"/>
          <w:b/>
          <w:bCs/>
          <w:noProof/>
          <w:lang w:val="sr-Latn-RS"/>
        </w:rPr>
        <w:t xml:space="preserve"> </w:t>
      </w:r>
      <w:r w:rsidR="00676452">
        <w:rPr>
          <w:rFonts w:ascii="Tahoma" w:eastAsia="Times New Roman" w:hAnsi="Tahoma" w:cs="Tahoma"/>
          <w:noProof/>
          <w:lang w:val="sr-Latn-RS"/>
        </w:rPr>
        <w:t xml:space="preserve">Polazeći od samog Uputstva za izradu programskog budžeta prema kojem LS </w:t>
      </w:r>
      <w:r w:rsidR="00676452" w:rsidRPr="00676452">
        <w:rPr>
          <w:rFonts w:ascii="Tahoma" w:eastAsia="Times New Roman" w:hAnsi="Tahoma" w:cs="Tahoma"/>
          <w:noProof/>
          <w:lang w:val="x-none"/>
        </w:rPr>
        <w:t xml:space="preserve"> svoju programsku strukturu utvrđuju na osnovu liste programa i programskih aktivnosti uniformnih za sve LS</w:t>
      </w:r>
      <w:r w:rsidR="00676452">
        <w:rPr>
          <w:rFonts w:ascii="Tahoma" w:eastAsia="Times New Roman" w:hAnsi="Tahoma" w:cs="Tahoma"/>
          <w:noProof/>
          <w:lang w:val="sr-Latn-RS"/>
        </w:rPr>
        <w:t>, a</w:t>
      </w:r>
      <w:r w:rsidR="00676452">
        <w:rPr>
          <w:rFonts w:ascii="Tahoma" w:eastAsia="Times New Roman" w:hAnsi="Tahoma" w:cs="Tahoma"/>
          <w:noProof/>
          <w:lang w:val="sr-Latn-CS"/>
        </w:rPr>
        <w:t xml:space="preserve"> p</w:t>
      </w:r>
      <w:r w:rsidR="00676452" w:rsidRPr="00676452">
        <w:rPr>
          <w:rFonts w:ascii="Tahoma" w:eastAsia="Times New Roman" w:hAnsi="Tahoma" w:cs="Tahoma"/>
          <w:noProof/>
          <w:lang w:val="x-none"/>
        </w:rPr>
        <w:t>o potrebi, utvrđuju dodatne programske aktivnosti</w:t>
      </w:r>
      <w:r w:rsidR="00676452" w:rsidRPr="00676452">
        <w:rPr>
          <w:rFonts w:ascii="Tahoma" w:eastAsia="Times New Roman" w:hAnsi="Tahoma" w:cs="Tahoma"/>
          <w:b/>
          <w:bCs/>
          <w:noProof/>
          <w:lang w:val="x-none"/>
        </w:rPr>
        <w:t xml:space="preserve"> </w:t>
      </w:r>
      <w:r w:rsidR="00676452" w:rsidRPr="00676452">
        <w:rPr>
          <w:rFonts w:ascii="Tahoma" w:eastAsia="Times New Roman" w:hAnsi="Tahoma" w:cs="Tahoma"/>
          <w:noProof/>
          <w:lang w:val="x-none"/>
        </w:rPr>
        <w:t>i projekte u skladu sa svojim specifičnim nadležnostima i svojim strateškim planovima i ciljevima</w:t>
      </w:r>
      <w:r w:rsidR="00676452">
        <w:rPr>
          <w:rFonts w:ascii="Tahoma" w:eastAsia="Times New Roman" w:hAnsi="Tahoma" w:cs="Tahoma"/>
          <w:noProof/>
          <w:lang w:val="sr-Latn-RS"/>
        </w:rPr>
        <w:t>, u okviru direktne podrške lokalnim samoupravama testirane su mogućnost uvođenja dodatnih programskih aktivnosti i takva proširenja strukture budžeta pokazuju prve dobre rezultate. Naime</w:t>
      </w:r>
      <w:r w:rsidR="00472C9A">
        <w:rPr>
          <w:rFonts w:ascii="Tahoma" w:eastAsia="Times New Roman" w:hAnsi="Tahoma" w:cs="Tahoma"/>
          <w:noProof/>
          <w:lang w:val="sr-Latn-RS"/>
        </w:rPr>
        <w:t>,</w:t>
      </w:r>
      <w:r w:rsidR="00676452">
        <w:rPr>
          <w:rFonts w:ascii="Tahoma" w:eastAsia="Times New Roman" w:hAnsi="Tahoma" w:cs="Tahoma"/>
          <w:noProof/>
          <w:lang w:val="sr-Latn-RS"/>
        </w:rPr>
        <w:t xml:space="preserve"> radi se o potrebi za raščlanjavanjem ciljeva i indikatora merenja uspešnosti pojedinih indirektnih korisnika budžeta opštine/grada, koji se nalaze u okviru istog programa i do sada su predstavljeni u okviru iste programske aktivnosti (mada prema Uputstvu za izradu programskog budžeta, jedna programska aktivnost treba da bude r</w:t>
      </w:r>
      <w:r w:rsidR="00472C9A">
        <w:rPr>
          <w:rFonts w:ascii="Tahoma" w:eastAsia="Times New Roman" w:hAnsi="Tahoma" w:cs="Tahoma"/>
          <w:noProof/>
          <w:lang w:val="sr-Latn-RS"/>
        </w:rPr>
        <w:t xml:space="preserve">ealizovana od strane jednog korisnika budžeta). </w:t>
      </w:r>
    </w:p>
    <w:p w14:paraId="624829E0" w14:textId="59EE8077" w:rsidR="00472C9A" w:rsidRDefault="00472C9A" w:rsidP="00676452">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lastRenderedPageBreak/>
        <w:t xml:space="preserve">Dodatne programske aktivnosti su predviđene u okviru programa 13 – Razvoj kulture i informisanja, gde je, umesto klasične programske aktivnosti 0001 – funkcionisanje lokalnih ustanova kulture, korišćene su novoformirane PA (od 0007 do 0012) sa specifičnim obeležjima pojedinih ustanova u oblasti kulture sa mogućnošću preciziranja njihovog cilja i pravilnog određivanja merenja rezultata kroz indikator. </w:t>
      </w:r>
    </w:p>
    <w:p w14:paraId="358289C1" w14:textId="1C21A13D" w:rsidR="00676452" w:rsidRPr="00676452" w:rsidRDefault="00472C9A" w:rsidP="00676452">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 xml:space="preserve"> </w:t>
      </w:r>
      <w:r>
        <w:rPr>
          <w:rFonts w:ascii="Tahoma" w:eastAsia="Times New Roman" w:hAnsi="Tahoma" w:cs="Tahoma"/>
          <w:noProof/>
          <w:lang w:val="sr-Latn-RS"/>
        </w:rPr>
        <w:drawing>
          <wp:inline distT="0" distB="0" distL="0" distR="0" wp14:anchorId="458B1F10" wp14:editId="511D99D6">
            <wp:extent cx="6448425" cy="3610610"/>
            <wp:effectExtent l="0" t="0" r="9525"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163" cy="3627821"/>
                    </a:xfrm>
                    <a:prstGeom prst="rect">
                      <a:avLst/>
                    </a:prstGeom>
                    <a:noFill/>
                  </pic:spPr>
                </pic:pic>
              </a:graphicData>
            </a:graphic>
          </wp:inline>
        </w:drawing>
      </w:r>
    </w:p>
    <w:p w14:paraId="38104049" w14:textId="776628B6" w:rsidR="003B0DB5" w:rsidRPr="003B0DB5" w:rsidRDefault="004D40C5" w:rsidP="003B0DB5">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Treba međutim imati u vidu da je izmenama Uputstva</w:t>
      </w:r>
      <w:r w:rsidR="002941D8">
        <w:rPr>
          <w:rFonts w:ascii="Tahoma" w:eastAsia="Times New Roman" w:hAnsi="Tahoma" w:cs="Tahoma"/>
          <w:noProof/>
          <w:lang w:val="sr-Latn-RS"/>
        </w:rPr>
        <w:t xml:space="preserve"> </w:t>
      </w:r>
      <w:r w:rsidR="003B0DB5">
        <w:rPr>
          <w:rFonts w:ascii="Tahoma" w:eastAsia="Times New Roman" w:hAnsi="Tahoma" w:cs="Tahoma"/>
          <w:noProof/>
          <w:lang w:val="sr-Latn-RS"/>
        </w:rPr>
        <w:t>iz oktobra</w:t>
      </w:r>
      <w:r w:rsidR="002941D8">
        <w:rPr>
          <w:rFonts w:ascii="Tahoma" w:eastAsia="Times New Roman" w:hAnsi="Tahoma" w:cs="Tahoma"/>
          <w:noProof/>
          <w:lang w:val="sr-Latn-RS"/>
        </w:rPr>
        <w:t xml:space="preserve"> 2019. godine određeno</w:t>
      </w:r>
      <w:r w:rsidR="003B0DB5" w:rsidRPr="003B0DB5">
        <w:rPr>
          <w:rFonts w:ascii="Tahoma" w:eastAsia="Times New Roman" w:hAnsi="Tahoma" w:cs="Tahoma"/>
          <w:noProof/>
          <w:lang w:val="sr-Latn-RS"/>
        </w:rPr>
        <w:t xml:space="preserve"> da “</w:t>
      </w:r>
      <w:r w:rsidR="003B0DB5" w:rsidRPr="003B0DB5">
        <w:rPr>
          <w:rFonts w:ascii="Tahoma" w:eastAsia="Times New Roman" w:hAnsi="Tahoma" w:cs="Tahoma"/>
          <w:noProof/>
          <w:lang w:val="sr-Latn-RS"/>
        </w:rPr>
        <w:t>Ukoliko se usled novih nadležnosti ili specifičnih okolnosti pojavi potreba za otvaranjem nove programske aktivnosti koja nije deo uniformne programske strukture iz Aneksa 5, JLS upućuje zahtev Ministarstvu finansija za otvaranje nove programske aktivnosti. Ministarstvo finansija razmatra podneti zahtev i obaveštava JLS da li je nova programska aktivnost odobrena ili odbijena. Ako je programska aktivnost odobrena Ministarstvo finansija dodeljuje šifru programske aktivnosti i nova programska aktivnost postaje sastavni deo uniformne programske strukture iz Aneksa 5. JLS dostavljaju zahteve za otvaranje nove programske aktivnosti na obrascu broj 1. iz Aneksa 5.</w:t>
      </w:r>
      <w:r w:rsidR="003B0DB5">
        <w:rPr>
          <w:rFonts w:ascii="Tahoma" w:eastAsia="Times New Roman" w:hAnsi="Tahoma" w:cs="Tahoma"/>
          <w:noProof/>
          <w:lang w:val="sr-Latn-RS"/>
        </w:rPr>
        <w:t>“</w:t>
      </w:r>
    </w:p>
    <w:p w14:paraId="2524D48C" w14:textId="1DAB7B92" w:rsidR="004D40C5" w:rsidRPr="003B0DB5" w:rsidRDefault="003B0DB5" w:rsidP="007F5044">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 xml:space="preserve">Novouvedene izmene Uputstva </w:t>
      </w:r>
      <w:r w:rsidR="004D40C5">
        <w:rPr>
          <w:rFonts w:ascii="Tahoma" w:eastAsia="Times New Roman" w:hAnsi="Tahoma" w:cs="Tahoma"/>
          <w:noProof/>
          <w:lang w:val="sr-Latn-RS"/>
        </w:rPr>
        <w:t>ne znač</w:t>
      </w:r>
      <w:r>
        <w:rPr>
          <w:rFonts w:ascii="Tahoma" w:eastAsia="Times New Roman" w:hAnsi="Tahoma" w:cs="Tahoma"/>
          <w:noProof/>
          <w:lang w:val="sr-Latn-RS"/>
        </w:rPr>
        <w:t>e</w:t>
      </w:r>
      <w:r w:rsidR="004D40C5">
        <w:rPr>
          <w:rFonts w:ascii="Tahoma" w:eastAsia="Times New Roman" w:hAnsi="Tahoma" w:cs="Tahoma"/>
          <w:noProof/>
          <w:lang w:val="sr-Latn-RS"/>
        </w:rPr>
        <w:t xml:space="preserve"> da je otvaranje novih PA nepožel</w:t>
      </w:r>
      <w:r>
        <w:rPr>
          <w:rFonts w:ascii="Tahoma" w:eastAsia="Times New Roman" w:hAnsi="Tahoma" w:cs="Tahoma"/>
          <w:noProof/>
          <w:lang w:val="sr-Latn-RS"/>
        </w:rPr>
        <w:t>j</w:t>
      </w:r>
      <w:r w:rsidR="004D40C5">
        <w:rPr>
          <w:rFonts w:ascii="Tahoma" w:eastAsia="Times New Roman" w:hAnsi="Tahoma" w:cs="Tahoma"/>
          <w:noProof/>
          <w:lang w:val="sr-Latn-RS"/>
        </w:rPr>
        <w:t>no ili neizvodljivo, jer su neke LS i u tekućem ciklusu dobile pozitivne odgovore od MFIN – već da je potrebno signalizirati MFIN takav plan od strane grada/opštine</w:t>
      </w:r>
      <w:r w:rsidRPr="003B0DB5">
        <w:rPr>
          <w:rFonts w:ascii="Tahoma" w:eastAsia="Times New Roman" w:hAnsi="Tahoma" w:cs="Tahoma"/>
          <w:noProof/>
          <w:lang w:val="sr-Latn-RS"/>
        </w:rPr>
        <w:t>.</w:t>
      </w:r>
      <w:r>
        <w:rPr>
          <w:rFonts w:ascii="Tahoma" w:eastAsia="Times New Roman" w:hAnsi="Tahoma" w:cs="Tahoma"/>
          <w:noProof/>
          <w:lang w:val="sr-Latn-RS"/>
        </w:rPr>
        <w:t xml:space="preserve"> </w:t>
      </w:r>
    </w:p>
    <w:p w14:paraId="26201628" w14:textId="7E60C9D0" w:rsidR="007F5044" w:rsidRDefault="007F5044" w:rsidP="00F11398">
      <w:pPr>
        <w:spacing w:after="100" w:line="240" w:lineRule="auto"/>
        <w:jc w:val="both"/>
        <w:rPr>
          <w:rFonts w:ascii="Tahoma" w:eastAsia="Times New Roman" w:hAnsi="Tahoma" w:cs="Tahoma"/>
          <w:noProof/>
          <w:lang w:val="sr-Latn-RS"/>
        </w:rPr>
      </w:pPr>
    </w:p>
    <w:p w14:paraId="2DCCA305" w14:textId="7727B2F6" w:rsidR="007F5044" w:rsidRPr="00331112" w:rsidRDefault="00F4307D" w:rsidP="007F5044">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9. </w:t>
      </w:r>
      <w:r w:rsidR="007F5044" w:rsidRPr="007F5044">
        <w:rPr>
          <w:rFonts w:ascii="Tahoma" w:eastAsia="Times New Roman" w:hAnsi="Tahoma" w:cs="Tahoma"/>
          <w:b/>
          <w:bCs/>
          <w:noProof/>
          <w:lang w:val="sr-Latn-RS"/>
        </w:rPr>
        <w:t xml:space="preserve">Pitanje: </w:t>
      </w:r>
      <w:r w:rsidR="00331112">
        <w:rPr>
          <w:rFonts w:ascii="Tahoma" w:eastAsia="Times New Roman" w:hAnsi="Tahoma" w:cs="Tahoma"/>
          <w:noProof/>
          <w:lang w:val="sr-Latn-RS"/>
        </w:rPr>
        <w:t>Da li rashode za finansiranje naknade štete zbog ujeda pasa lutalica u svakom slučaju treba planirati i izvršavati sa ekonomske klasifikacije 485 – Naknada šteta za povrede ili štetu nanetu od strane državnih organa ili način planiranja i izvršavanja zavisi od načina rešavanja odštetnog zahteva (putem suda)?</w:t>
      </w:r>
    </w:p>
    <w:p w14:paraId="1E96CC63" w14:textId="1A8E372E" w:rsidR="007F5044" w:rsidRPr="00472C9A" w:rsidRDefault="007F5044" w:rsidP="007F5044">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lastRenderedPageBreak/>
        <w:t>Odgovor:</w:t>
      </w:r>
      <w:r w:rsidR="00472C9A">
        <w:rPr>
          <w:rFonts w:ascii="Tahoma" w:eastAsia="Times New Roman" w:hAnsi="Tahoma" w:cs="Tahoma"/>
          <w:b/>
          <w:bCs/>
          <w:noProof/>
          <w:lang w:val="sr-Latn-RS"/>
        </w:rPr>
        <w:t xml:space="preserve"> </w:t>
      </w:r>
      <w:r w:rsidR="00472C9A">
        <w:rPr>
          <w:rFonts w:ascii="Tahoma" w:eastAsia="Times New Roman" w:hAnsi="Tahoma" w:cs="Tahoma"/>
          <w:noProof/>
          <w:lang w:val="sr-Latn-RS"/>
        </w:rPr>
        <w:t>Bez obzira na način rešavanja odštetnog zahteva, planiranje i izvršavanje rashoda za naknadu štete prema oštećenim licima treba vršiti preko ekonomske klasifikacije 485 – Naknada šteta za povrede ili štetu nanetu od strane državnih organa.</w:t>
      </w:r>
    </w:p>
    <w:p w14:paraId="622B2F90" w14:textId="1A2BB614" w:rsidR="007F5044" w:rsidRDefault="007F5044" w:rsidP="00F11398">
      <w:pPr>
        <w:spacing w:after="100" w:line="240" w:lineRule="auto"/>
        <w:jc w:val="both"/>
        <w:rPr>
          <w:rFonts w:ascii="Tahoma" w:eastAsia="Times New Roman" w:hAnsi="Tahoma" w:cs="Tahoma"/>
          <w:noProof/>
          <w:lang w:val="sr-Latn-RS"/>
        </w:rPr>
      </w:pPr>
    </w:p>
    <w:p w14:paraId="59F18AA9" w14:textId="7B04D80F" w:rsidR="00227AE9" w:rsidRPr="005F0DE4" w:rsidRDefault="00F4307D" w:rsidP="00227AE9">
      <w:pPr>
        <w:jc w:val="both"/>
        <w:rPr>
          <w:rFonts w:ascii="Tahoma" w:hAnsi="Tahoma" w:cs="Tahoma"/>
          <w:lang w:val="sr-Latn-RS"/>
        </w:rPr>
      </w:pPr>
      <w:r>
        <w:rPr>
          <w:rFonts w:ascii="Tahoma" w:eastAsia="Times New Roman" w:hAnsi="Tahoma" w:cs="Tahoma"/>
          <w:b/>
          <w:bCs/>
          <w:noProof/>
          <w:lang w:val="sr-Latn-RS"/>
        </w:rPr>
        <w:t xml:space="preserve">10. </w:t>
      </w:r>
      <w:r w:rsidR="007F5044" w:rsidRPr="007F5044">
        <w:rPr>
          <w:rFonts w:ascii="Tahoma" w:eastAsia="Times New Roman" w:hAnsi="Tahoma" w:cs="Tahoma"/>
          <w:b/>
          <w:bCs/>
          <w:noProof/>
          <w:lang w:val="sr-Latn-RS"/>
        </w:rPr>
        <w:t xml:space="preserve">Pitanje: </w:t>
      </w:r>
      <w:r w:rsidR="00227AE9" w:rsidRPr="00227AE9">
        <w:rPr>
          <w:rFonts w:ascii="Tahoma" w:hAnsi="Tahoma" w:cs="Tahoma"/>
          <w:lang w:val="sr-Latn-RS"/>
        </w:rPr>
        <w:t xml:space="preserve">Koji je pravilan način iskazivanja kapitalnih izdataka u objekte osnovnih i srednjih škola? Da li rashod treba iskazati u okviru direktnog budžetskog korisnika, kao projekat sa ekonomskom klasifikacijom 511, ili treba prikazati preko korisnika budžeta JLS – škole, kao </w:t>
      </w:r>
      <w:r w:rsidR="00227AE9" w:rsidRPr="005F0DE4">
        <w:rPr>
          <w:rFonts w:ascii="Tahoma" w:hAnsi="Tahoma" w:cs="Tahoma"/>
          <w:lang w:val="sr-Latn-RS"/>
        </w:rPr>
        <w:t>kapitalni administrativni transfer na kontima 4632</w:t>
      </w:r>
      <w:r w:rsidR="00227AE9">
        <w:rPr>
          <w:rFonts w:ascii="Tahoma" w:hAnsi="Tahoma" w:cs="Tahoma"/>
          <w:lang w:val="sr-Latn-RS"/>
        </w:rPr>
        <w:t>?</w:t>
      </w:r>
    </w:p>
    <w:p w14:paraId="2261536F" w14:textId="77777777" w:rsidR="00227AE9" w:rsidRPr="005F0DE4" w:rsidRDefault="00227AE9" w:rsidP="00227AE9">
      <w:pPr>
        <w:jc w:val="both"/>
        <w:rPr>
          <w:rFonts w:ascii="Tahoma" w:hAnsi="Tahoma" w:cs="Tahoma"/>
          <w:lang w:val="sr-Latn-RS"/>
        </w:rPr>
      </w:pPr>
      <w:r w:rsidRPr="005F0DE4">
        <w:rPr>
          <w:rFonts w:ascii="Tahoma" w:hAnsi="Tahoma" w:cs="Tahoma"/>
          <w:b/>
          <w:lang w:val="sr-Latn-RS"/>
        </w:rPr>
        <w:t>Odgovor:</w:t>
      </w:r>
      <w:r w:rsidRPr="005F0DE4">
        <w:rPr>
          <w:rFonts w:ascii="Tahoma" w:hAnsi="Tahoma" w:cs="Tahoma"/>
          <w:lang w:val="sr-Latn-RS"/>
        </w:rPr>
        <w:t xml:space="preserve">  Uporište davanja odgovora na postavljeno pitanje leži u činjenici, da je pre svega potrebno preispitati svojinsko-pravne odnose. Prilikom stupanja na snagu Zakona o javnoj svojini („Sl. glasnik RS“, br. 72/2011, ..., 113/2017) jedinice lokalne samouprave su započele proces upisa javne svojine nad objektima po određenoj proceduri i to preko dobijanja potvrde od Republičke direkcije za imovinu, dok se u daljoj proceduri upis okončava od strane nadležne OJ RGZ (područnog katastra). Nosilac prava javne svojine u skladu sa ovim zakonom može biti Republika, AP ili jedinica lokalne samouprave. U slučajevima da je podnet zahtev prema Republičkoj direkciji i svojinski odnosi nisu bili sporni, nakon dobijanja njihove potvrde JLS je mogla upisati pravo svojine nad školskim objektima. Međutim, ako taj proces nije ispoštovan, ili zbog nekih nerešenih </w:t>
      </w:r>
      <w:proofErr w:type="spellStart"/>
      <w:r w:rsidRPr="005F0DE4">
        <w:rPr>
          <w:rFonts w:ascii="Tahoma" w:hAnsi="Tahoma" w:cs="Tahoma"/>
          <w:lang w:val="sr-Latn-RS"/>
        </w:rPr>
        <w:t>svojinskopravnih</w:t>
      </w:r>
      <w:proofErr w:type="spellEnd"/>
      <w:r w:rsidRPr="005F0DE4">
        <w:rPr>
          <w:rFonts w:ascii="Tahoma" w:hAnsi="Tahoma" w:cs="Tahoma"/>
          <w:lang w:val="sr-Latn-RS"/>
        </w:rPr>
        <w:t xml:space="preserve"> okolnosti (društvena svojina, udeli svojine i slično) procesi i dalje traju</w:t>
      </w:r>
      <w:r>
        <w:rPr>
          <w:rFonts w:ascii="Tahoma" w:hAnsi="Tahoma" w:cs="Tahoma"/>
          <w:lang w:val="sr-Latn-RS"/>
        </w:rPr>
        <w:t xml:space="preserve"> -</w:t>
      </w:r>
      <w:r w:rsidRPr="005F0DE4">
        <w:rPr>
          <w:rFonts w:ascii="Tahoma" w:hAnsi="Tahoma" w:cs="Tahoma"/>
          <w:lang w:val="sr-Latn-RS"/>
        </w:rPr>
        <w:t xml:space="preserve"> objekti obrazovanja još uvek nisu upisani u svojinu JLS, i JLS ima samo pravo korišćenja. Ukoliko zahtev za upis ne bude podnet područnom katastru od strane JLS najkasnije do kraja 2020. godine, ti objekti će postati javna svojina Republike.</w:t>
      </w:r>
    </w:p>
    <w:p w14:paraId="0ACA7B3B" w14:textId="39E089D2" w:rsidR="00227AE9" w:rsidRDefault="00227AE9" w:rsidP="00227AE9">
      <w:pPr>
        <w:jc w:val="both"/>
        <w:rPr>
          <w:rFonts w:ascii="Tahoma" w:hAnsi="Tahoma" w:cs="Tahoma"/>
          <w:lang w:val="sr-Latn-RS"/>
        </w:rPr>
      </w:pPr>
      <w:r w:rsidRPr="005F0DE4">
        <w:rPr>
          <w:rFonts w:ascii="Tahoma" w:hAnsi="Tahoma" w:cs="Tahoma"/>
          <w:lang w:val="sr-Latn-RS"/>
        </w:rPr>
        <w:t xml:space="preserve">U slučaju da je objekat postao javna svojina opštine/grada, investiciju treba planirati u okviru direktnog korisnika, u odgovarajućem programu 8, 9 ili 10, odnosno na ekonomskim klasifikacijama 511. Dok u drugom slučaju kada JLS ima pravo korišćenja (a ne javne svojine), potrebno je planirati investiciju preko drugog korisnika budžeta JLS, dakle škole na ekonomskoj klasifikaciji administrativnog transfera 463.  Takođe, moramo napomenuti, da ukoliko pri izradi  posebnog dela budžeta koristite </w:t>
      </w:r>
      <w:proofErr w:type="spellStart"/>
      <w:r w:rsidRPr="005F0DE4">
        <w:rPr>
          <w:rFonts w:ascii="Tahoma" w:hAnsi="Tahoma" w:cs="Tahoma"/>
          <w:lang w:val="sr-Latn-RS"/>
        </w:rPr>
        <w:t>trocifreni</w:t>
      </w:r>
      <w:proofErr w:type="spellEnd"/>
      <w:r w:rsidRPr="005F0DE4">
        <w:rPr>
          <w:rFonts w:ascii="Tahoma" w:hAnsi="Tahoma" w:cs="Tahoma"/>
          <w:lang w:val="sr-Latn-RS"/>
        </w:rPr>
        <w:t xml:space="preserve"> nivo ekonomske klasifikacije, nije preporučljivo u ovom slučaju kapitalni transfer predstaviti na četvrtom nivou ekonomske klasifikacije. Ukoliko imate potrebu za dodatnim obrazloženjem u vezi ovih kapitalnih projekata prema školama, onda je bilo koju analitiku ili pak objašnjenje potrebno predstaviti u obrazloženju budžeta (3. deo budžeta u skladu sa Zakonom o budžetskom sistemu). Pored navedenog, izuzetno je važno naznačiti, da ukoliko je uspostavljena javna svojina u korist Republike, korisnik objekta je škola, a sredstva za kapitalno održavanje/izgradnju/rekonstrukciju dobija putem administrativnog transfera od JLS - da škola mora obuhvatiti to pravo korišćenja u svojim knjigama u vanbilansnoj evidenciji, voditi pomoćnu knjigu objekata koje koristi i povećati vrednost ovih objekata u vanbilansnoj evidenciji za vrednost ulaganja u tekućoj godini. Vođenje evidencije o pravim tržišnim vrednostima objekata je izuzetno važno i sa aspekta osiguranja navedenih objekata, a premiju osiguranja u skladu sa pozitivnim zakonskim propisima snosi JLS na čijoj teritoriji se nalazi škola.</w:t>
      </w:r>
    </w:p>
    <w:p w14:paraId="19F4D504" w14:textId="4BA19ADE" w:rsidR="007F5044" w:rsidRDefault="007F5044" w:rsidP="00F11398">
      <w:pPr>
        <w:spacing w:after="100" w:line="240" w:lineRule="auto"/>
        <w:jc w:val="both"/>
        <w:rPr>
          <w:rFonts w:ascii="Tahoma" w:eastAsia="Times New Roman" w:hAnsi="Tahoma" w:cs="Tahoma"/>
          <w:noProof/>
          <w:lang w:val="sr-Latn-RS"/>
        </w:rPr>
      </w:pPr>
    </w:p>
    <w:p w14:paraId="6C388270" w14:textId="468865B3" w:rsidR="007F5044" w:rsidRPr="002452AC" w:rsidRDefault="00F4307D" w:rsidP="007F5044">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11. </w:t>
      </w:r>
      <w:r w:rsidR="007F5044" w:rsidRPr="007F5044">
        <w:rPr>
          <w:rFonts w:ascii="Tahoma" w:eastAsia="Times New Roman" w:hAnsi="Tahoma" w:cs="Tahoma"/>
          <w:b/>
          <w:bCs/>
          <w:noProof/>
          <w:lang w:val="sr-Latn-RS"/>
        </w:rPr>
        <w:t xml:space="preserve">Pitanje: </w:t>
      </w:r>
      <w:r w:rsidR="002452AC">
        <w:rPr>
          <w:rFonts w:ascii="Tahoma" w:eastAsia="Times New Roman" w:hAnsi="Tahoma" w:cs="Tahoma"/>
          <w:noProof/>
          <w:lang w:val="sr-Latn-RS"/>
        </w:rPr>
        <w:t>Na koji način rešavati neadekvatni nivo realizacije planiranog budžeta (i na prihodnoj i na rashodnoj strani), kao rezultat finansiranja kapitalnih investicionih rashoda od strane Kancelarije za upravljanje javnim ulaganjima?</w:t>
      </w:r>
    </w:p>
    <w:p w14:paraId="4EF0FD7F" w14:textId="53C9F124" w:rsidR="007F5044" w:rsidRDefault="007F5044" w:rsidP="007F5044">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lastRenderedPageBreak/>
        <w:t>Odgovor:</w:t>
      </w:r>
      <w:r w:rsidR="00E746DA">
        <w:rPr>
          <w:rFonts w:ascii="Tahoma" w:eastAsia="Times New Roman" w:hAnsi="Tahoma" w:cs="Tahoma"/>
          <w:b/>
          <w:bCs/>
          <w:noProof/>
          <w:lang w:val="sr-Latn-RS"/>
        </w:rPr>
        <w:t xml:space="preserve"> </w:t>
      </w:r>
      <w:r w:rsidR="00E746DA">
        <w:rPr>
          <w:rFonts w:ascii="Tahoma" w:eastAsia="Times New Roman" w:hAnsi="Tahoma" w:cs="Tahoma"/>
          <w:noProof/>
          <w:lang w:val="sr-Latn-RS"/>
        </w:rPr>
        <w:t xml:space="preserve">Pri finansiranju </w:t>
      </w:r>
      <w:r w:rsidR="00AA7BA9">
        <w:rPr>
          <w:rFonts w:ascii="Tahoma" w:eastAsia="Times New Roman" w:hAnsi="Tahoma" w:cs="Tahoma"/>
          <w:noProof/>
          <w:lang w:val="sr-Latn-RS"/>
        </w:rPr>
        <w:t xml:space="preserve">određenih </w:t>
      </w:r>
      <w:r w:rsidR="00E746DA">
        <w:rPr>
          <w:rFonts w:ascii="Tahoma" w:eastAsia="Times New Roman" w:hAnsi="Tahoma" w:cs="Tahoma"/>
          <w:noProof/>
          <w:lang w:val="sr-Latn-RS"/>
        </w:rPr>
        <w:t>kapitaln</w:t>
      </w:r>
      <w:r w:rsidR="00AA7BA9">
        <w:rPr>
          <w:rFonts w:ascii="Tahoma" w:eastAsia="Times New Roman" w:hAnsi="Tahoma" w:cs="Tahoma"/>
          <w:noProof/>
          <w:lang w:val="sr-Latn-RS"/>
        </w:rPr>
        <w:t>ih</w:t>
      </w:r>
      <w:r w:rsidR="00E746DA">
        <w:rPr>
          <w:rFonts w:ascii="Tahoma" w:eastAsia="Times New Roman" w:hAnsi="Tahoma" w:cs="Tahoma"/>
          <w:noProof/>
          <w:lang w:val="sr-Latn-RS"/>
        </w:rPr>
        <w:t xml:space="preserve"> investicij</w:t>
      </w:r>
      <w:r w:rsidR="00AA7BA9">
        <w:rPr>
          <w:rFonts w:ascii="Tahoma" w:eastAsia="Times New Roman" w:hAnsi="Tahoma" w:cs="Tahoma"/>
          <w:noProof/>
          <w:lang w:val="sr-Latn-RS"/>
        </w:rPr>
        <w:t>a</w:t>
      </w:r>
      <w:r w:rsidR="00E746DA">
        <w:rPr>
          <w:rFonts w:ascii="Tahoma" w:eastAsia="Times New Roman" w:hAnsi="Tahoma" w:cs="Tahoma"/>
          <w:noProof/>
          <w:lang w:val="sr-Latn-RS"/>
        </w:rPr>
        <w:t xml:space="preserve">, putem zaključivanja ugovora o pravima i obavezama Kancelarije za upravljanje javnim ulaganjima i LS u realizaciji projekta xx., investitorska prava u ime i za račun Republike Srbije (ukoliko su objekti javne namene nalaze se u javnoj svojini RS) vrši </w:t>
      </w:r>
      <w:r w:rsidR="002941D8">
        <w:rPr>
          <w:rFonts w:ascii="Tahoma" w:eastAsia="Times New Roman" w:hAnsi="Tahoma" w:cs="Tahoma"/>
          <w:noProof/>
          <w:lang w:val="sr-Latn-RS"/>
        </w:rPr>
        <w:t>JLS</w:t>
      </w:r>
      <w:r w:rsidR="00E746DA">
        <w:rPr>
          <w:rFonts w:ascii="Tahoma" w:eastAsia="Times New Roman" w:hAnsi="Tahoma" w:cs="Tahoma"/>
          <w:noProof/>
          <w:lang w:val="sr-Latn-RS"/>
        </w:rPr>
        <w:t>. Ugovorom se definiše način realizacije celokupnog procesa finansiranja, počev od sprovođenja postupka javne nabavke, obezbeđenja stručnog nadzora, snošenj</w:t>
      </w:r>
      <w:r w:rsidR="00CF476C">
        <w:rPr>
          <w:rFonts w:ascii="Tahoma" w:eastAsia="Times New Roman" w:hAnsi="Tahoma" w:cs="Tahoma"/>
          <w:noProof/>
          <w:lang w:val="sr-Latn-RS"/>
        </w:rPr>
        <w:t>a</w:t>
      </w:r>
      <w:r w:rsidR="00E746DA">
        <w:rPr>
          <w:rFonts w:ascii="Tahoma" w:eastAsia="Times New Roman" w:hAnsi="Tahoma" w:cs="Tahoma"/>
          <w:noProof/>
          <w:lang w:val="sr-Latn-RS"/>
        </w:rPr>
        <w:t xml:space="preserve"> nepredviđenih troškova, bankarskih garancija i slično</w:t>
      </w:r>
      <w:r w:rsidR="00AA7BA9">
        <w:rPr>
          <w:rFonts w:ascii="Tahoma" w:eastAsia="Times New Roman" w:hAnsi="Tahoma" w:cs="Tahoma"/>
          <w:noProof/>
          <w:lang w:val="sr-Latn-RS"/>
        </w:rPr>
        <w:t xml:space="preserve"> (obaveze LS)</w:t>
      </w:r>
      <w:r w:rsidR="00E746DA">
        <w:rPr>
          <w:rFonts w:ascii="Tahoma" w:eastAsia="Times New Roman" w:hAnsi="Tahoma" w:cs="Tahoma"/>
          <w:noProof/>
          <w:lang w:val="sr-Latn-RS"/>
        </w:rPr>
        <w:t>, preko načina plaćanja izvođaču radova</w:t>
      </w:r>
      <w:r w:rsidR="00AA7BA9">
        <w:rPr>
          <w:rFonts w:ascii="Tahoma" w:eastAsia="Times New Roman" w:hAnsi="Tahoma" w:cs="Tahoma"/>
          <w:noProof/>
          <w:lang w:val="sr-Latn-RS"/>
        </w:rPr>
        <w:t xml:space="preserve"> (obaveza Kancelarije)</w:t>
      </w:r>
      <w:r w:rsidR="00E746DA">
        <w:rPr>
          <w:rFonts w:ascii="Tahoma" w:eastAsia="Times New Roman" w:hAnsi="Tahoma" w:cs="Tahoma"/>
          <w:noProof/>
          <w:lang w:val="sr-Latn-RS"/>
        </w:rPr>
        <w:t xml:space="preserve">, koji se sprovodi direktno na račun samog izvođača. </w:t>
      </w:r>
      <w:r w:rsidR="00AA7BA9">
        <w:rPr>
          <w:rFonts w:ascii="Tahoma" w:eastAsia="Times New Roman" w:hAnsi="Tahoma" w:cs="Tahoma"/>
          <w:noProof/>
          <w:lang w:val="sr-Latn-RS"/>
        </w:rPr>
        <w:t>Imajući u vidu, da za potrebe sprovođenja postupka javne nabavke LS mora imati otvoreni projekat sa adekvatnom aproprijacijom u svom budžetu, a realizaciju samog projekta ne može da obuhvati preko svoje evidencije zbog načina plaćanja prema zaključenom ugovoru sa Kancelarijom i nepostojanja osnova za prikazivanje takvog ulaganja u svojim poslovnim knjigama (objekat nije u vlasništvu LS)</w:t>
      </w:r>
      <w:r w:rsidR="00CF476C">
        <w:rPr>
          <w:rFonts w:ascii="Tahoma" w:eastAsia="Times New Roman" w:hAnsi="Tahoma" w:cs="Tahoma"/>
          <w:noProof/>
          <w:lang w:val="sr-Latn-RS"/>
        </w:rPr>
        <w:t xml:space="preserve"> - </w:t>
      </w:r>
      <w:r w:rsidR="00AA7BA9">
        <w:rPr>
          <w:rFonts w:ascii="Tahoma" w:eastAsia="Times New Roman" w:hAnsi="Tahoma" w:cs="Tahoma"/>
          <w:noProof/>
          <w:lang w:val="sr-Latn-RS"/>
        </w:rPr>
        <w:t>otvoreni projekat ostaje neizvršen iz aspekta rashodne strane budžeta LS u toj godini. Takav način planiranja rashoda, odnosno neizvršavanja sa druge strane, direktno utiče na nivo realizacije planiranog budžeta LS na dan 31.12. tekuće godine</w:t>
      </w:r>
      <w:r w:rsidR="003762A2">
        <w:rPr>
          <w:rFonts w:ascii="Tahoma" w:eastAsia="Times New Roman" w:hAnsi="Tahoma" w:cs="Tahoma"/>
          <w:noProof/>
          <w:lang w:val="sr-Latn-RS"/>
        </w:rPr>
        <w:t>, i na prihodnoj strani budžeta (plaćanje izvođaču radova se vrši direktno na račun tog pravnog lica), odnosno na rashodnoj strani budžeta – aproprijacija projekta.</w:t>
      </w:r>
    </w:p>
    <w:p w14:paraId="0AAFAF69" w14:textId="77777777" w:rsidR="003762A2" w:rsidRDefault="003762A2" w:rsidP="007F5044">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 xml:space="preserve">U slučaju da Kancelarija finansira projekat koji se odnosi na ulaganja u objekte u javnoj svojini LS, onda nadležna organizaciona jedinica za poslove finansija u opštinskoj/gradskoj upravi treba da evidentira takva ulaganja u glavnoj knjizi putem mešovitog naloga za knjiženje, a pored toga i u pomoćnoj knjizi osnovnih sredstava. </w:t>
      </w:r>
    </w:p>
    <w:p w14:paraId="7EE6ABBE" w14:textId="7B03F229" w:rsidR="003762A2" w:rsidRPr="00E746DA" w:rsidRDefault="003762A2" w:rsidP="007F5044">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 xml:space="preserve">Imajući u vidu, da u oba slučaja navedena transakcija negativno utiče na relativno ostvarenje budžeta LS na kraju budžetske godine, ovu činjenicu treba </w:t>
      </w:r>
      <w:r w:rsidRPr="00CF476C">
        <w:rPr>
          <w:rFonts w:ascii="Tahoma" w:eastAsia="Times New Roman" w:hAnsi="Tahoma" w:cs="Tahoma"/>
          <w:noProof/>
          <w:u w:val="single"/>
          <w:lang w:val="sr-Latn-RS"/>
        </w:rPr>
        <w:t>posebno naznačiti u obrazloženju Odluke o završnom računu budžeta lokalne vlasti i ukazati na nivo ostvarenja prihodne i rashodne strane budžeta bez predmetnih projekta (projekata)</w:t>
      </w:r>
      <w:r>
        <w:rPr>
          <w:rFonts w:ascii="Tahoma" w:eastAsia="Times New Roman" w:hAnsi="Tahoma" w:cs="Tahoma"/>
          <w:noProof/>
          <w:lang w:val="sr-Latn-RS"/>
        </w:rPr>
        <w:t xml:space="preserve">.  </w:t>
      </w:r>
    </w:p>
    <w:p w14:paraId="58833DA2" w14:textId="7571182F" w:rsidR="007F5044" w:rsidRDefault="007F5044" w:rsidP="00F11398">
      <w:pPr>
        <w:spacing w:after="100" w:line="240" w:lineRule="auto"/>
        <w:jc w:val="both"/>
        <w:rPr>
          <w:rFonts w:ascii="Tahoma" w:eastAsia="Times New Roman" w:hAnsi="Tahoma" w:cs="Tahoma"/>
          <w:noProof/>
          <w:lang w:val="sr-Latn-RS"/>
        </w:rPr>
      </w:pPr>
    </w:p>
    <w:p w14:paraId="0845E3F4" w14:textId="0D44238F" w:rsidR="007F5044" w:rsidRPr="002452AC" w:rsidRDefault="00F4307D" w:rsidP="007F5044">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12. </w:t>
      </w:r>
      <w:r w:rsidR="007F5044" w:rsidRPr="007F5044">
        <w:rPr>
          <w:rFonts w:ascii="Tahoma" w:eastAsia="Times New Roman" w:hAnsi="Tahoma" w:cs="Tahoma"/>
          <w:b/>
          <w:bCs/>
          <w:noProof/>
          <w:lang w:val="sr-Latn-RS"/>
        </w:rPr>
        <w:t xml:space="preserve">Pitanje: </w:t>
      </w:r>
      <w:r w:rsidR="002452AC">
        <w:rPr>
          <w:rFonts w:ascii="Tahoma" w:eastAsia="Times New Roman" w:hAnsi="Tahoma" w:cs="Tahoma"/>
          <w:noProof/>
          <w:lang w:val="sr-Latn-RS"/>
        </w:rPr>
        <w:t>Objasnite nam način planiranja rashoda za potrebe finansijskog lizinga (u godini kupovine mašine i opreme, odnosno u ostalim godinama)?</w:t>
      </w:r>
    </w:p>
    <w:p w14:paraId="4DF23725" w14:textId="56D5D8A7" w:rsidR="006150F9" w:rsidRDefault="007F5044" w:rsidP="007F5044">
      <w:pPr>
        <w:spacing w:after="100" w:line="240" w:lineRule="auto"/>
        <w:jc w:val="both"/>
        <w:rPr>
          <w:rFonts w:ascii="Tahoma" w:eastAsia="Times New Roman" w:hAnsi="Tahoma" w:cs="Tahoma"/>
          <w:noProof/>
          <w:lang w:val="sr-Latn-RS"/>
        </w:rPr>
      </w:pPr>
      <w:r w:rsidRPr="006150F9">
        <w:rPr>
          <w:rFonts w:ascii="Tahoma" w:eastAsia="Times New Roman" w:hAnsi="Tahoma" w:cs="Tahoma"/>
          <w:b/>
          <w:bCs/>
          <w:noProof/>
          <w:lang w:val="sr-Latn-RS"/>
        </w:rPr>
        <w:t>Odgovor:</w:t>
      </w:r>
      <w:r w:rsidR="006150F9">
        <w:rPr>
          <w:rFonts w:ascii="Tahoma" w:eastAsia="Times New Roman" w:hAnsi="Tahoma" w:cs="Tahoma"/>
          <w:b/>
          <w:bCs/>
          <w:noProof/>
          <w:lang w:val="sr-Latn-RS"/>
        </w:rPr>
        <w:t xml:space="preserve"> </w:t>
      </w:r>
      <w:r w:rsidR="006150F9">
        <w:rPr>
          <w:rFonts w:ascii="Tahoma" w:eastAsia="Times New Roman" w:hAnsi="Tahoma" w:cs="Tahoma"/>
          <w:noProof/>
          <w:lang w:val="sr-Latn-RS"/>
        </w:rPr>
        <w:t>Finansijski lizing predstavalja j</w:t>
      </w:r>
      <w:r w:rsidR="00CF476C">
        <w:rPr>
          <w:rFonts w:ascii="Tahoma" w:eastAsia="Times New Roman" w:hAnsi="Tahoma" w:cs="Tahoma"/>
          <w:noProof/>
          <w:lang w:val="sr-Latn-RS"/>
        </w:rPr>
        <w:t>e</w:t>
      </w:r>
      <w:r w:rsidR="006150F9">
        <w:rPr>
          <w:rFonts w:ascii="Tahoma" w:eastAsia="Times New Roman" w:hAnsi="Tahoma" w:cs="Tahoma"/>
          <w:noProof/>
          <w:lang w:val="sr-Latn-RS"/>
        </w:rPr>
        <w:t xml:space="preserve">dan od načina finansiranja ulaganja u osnovna sredstva, odnosno pokretna nepotrošna dobra, te se javlja kao alternativa sopstvenim sredstvima (budžet LS), bankarskim kreditima i zaduživanju putem emitovanja dužničkih hartija od vrednosti. </w:t>
      </w:r>
    </w:p>
    <w:p w14:paraId="0EB9C84D" w14:textId="2CF4C8DF" w:rsidR="007F5044" w:rsidRDefault="006150F9" w:rsidP="00F11398">
      <w:pPr>
        <w:spacing w:after="100" w:line="240" w:lineRule="auto"/>
        <w:jc w:val="both"/>
        <w:rPr>
          <w:rFonts w:ascii="Tahoma" w:eastAsia="Times New Roman" w:hAnsi="Tahoma" w:cs="Tahoma"/>
          <w:noProof/>
          <w:lang w:val="sr-Latn-RS"/>
        </w:rPr>
      </w:pPr>
      <w:r>
        <w:rPr>
          <w:rFonts w:ascii="Tahoma" w:eastAsia="Times New Roman" w:hAnsi="Tahoma" w:cs="Tahoma"/>
          <w:noProof/>
          <w:lang w:val="sr-Latn-RS"/>
        </w:rPr>
        <w:t xml:space="preserve">Za potrebe sprovođenja postupka javne nabavke (uglavnom prevoznog sredstva) putem finansijskog lizinga potrebno je imati otvorenu aproprijaciju u budžetu LS na ekonomskoj klasifikaciji 512 – Mašina </w:t>
      </w:r>
      <w:r w:rsidR="00A37D6D">
        <w:rPr>
          <w:rFonts w:ascii="Tahoma" w:eastAsia="Times New Roman" w:hAnsi="Tahoma" w:cs="Tahoma"/>
          <w:noProof/>
          <w:lang w:val="sr-Latn-RS"/>
        </w:rPr>
        <w:t xml:space="preserve">i oprema (na procenjenu vrednost nabavke), dok za vreme trajanja ugovora o lizingu obaveze prema davaocu lizinga treba izvršavati preko ekonomske klasifikacije 614 – Otplata glavnice za finansijski lizing. </w:t>
      </w:r>
    </w:p>
    <w:p w14:paraId="5A9F4ADD" w14:textId="14A11731" w:rsidR="007F5044" w:rsidRDefault="007F5044" w:rsidP="00F11398">
      <w:pPr>
        <w:spacing w:after="100" w:line="240" w:lineRule="auto"/>
        <w:jc w:val="both"/>
        <w:rPr>
          <w:rFonts w:ascii="Tahoma" w:eastAsia="Times New Roman" w:hAnsi="Tahoma" w:cs="Tahoma"/>
          <w:noProof/>
          <w:lang w:val="sr-Latn-RS"/>
        </w:rPr>
      </w:pPr>
    </w:p>
    <w:p w14:paraId="3785604A" w14:textId="5CDE1734" w:rsidR="002452AC" w:rsidRPr="002452AC" w:rsidRDefault="00F4307D" w:rsidP="002452AC">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13. </w:t>
      </w:r>
      <w:r w:rsidR="002452AC" w:rsidRPr="007F5044">
        <w:rPr>
          <w:rFonts w:ascii="Tahoma" w:eastAsia="Times New Roman" w:hAnsi="Tahoma" w:cs="Tahoma"/>
          <w:b/>
          <w:bCs/>
          <w:noProof/>
          <w:lang w:val="sr-Latn-RS"/>
        </w:rPr>
        <w:t xml:space="preserve">Pitanje: </w:t>
      </w:r>
      <w:r w:rsidR="002452AC">
        <w:rPr>
          <w:rFonts w:ascii="Tahoma" w:eastAsia="Times New Roman" w:hAnsi="Tahoma" w:cs="Tahoma"/>
          <w:noProof/>
          <w:lang w:val="sr-Latn-RS"/>
        </w:rPr>
        <w:t xml:space="preserve">Kako odrediti lice odgovorno za projekte po predlozima građana, a koje prema </w:t>
      </w:r>
      <w:r w:rsidR="0004711B">
        <w:rPr>
          <w:rFonts w:ascii="Tahoma" w:eastAsia="Times New Roman" w:hAnsi="Tahoma" w:cs="Tahoma"/>
          <w:noProof/>
          <w:lang w:val="sr-Latn-RS"/>
        </w:rPr>
        <w:t>nacrtu</w:t>
      </w:r>
      <w:r w:rsidR="002452AC">
        <w:rPr>
          <w:rFonts w:ascii="Tahoma" w:eastAsia="Times New Roman" w:hAnsi="Tahoma" w:cs="Tahoma"/>
          <w:noProof/>
          <w:lang w:val="sr-Latn-RS"/>
        </w:rPr>
        <w:t xml:space="preserve"> odluke o budžetu treba da budu finansirani iz budžeta </w:t>
      </w:r>
      <w:r w:rsidR="0004711B">
        <w:rPr>
          <w:rFonts w:ascii="Tahoma" w:eastAsia="Times New Roman" w:hAnsi="Tahoma" w:cs="Tahoma"/>
          <w:noProof/>
          <w:lang w:val="sr-Latn-RS"/>
        </w:rPr>
        <w:t>LS u narednoj godini?</w:t>
      </w:r>
    </w:p>
    <w:p w14:paraId="09EF10F1" w14:textId="69E8183D" w:rsidR="002C454E" w:rsidRDefault="002452AC" w:rsidP="002452AC">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sidR="00A37D6D">
        <w:rPr>
          <w:rFonts w:ascii="Tahoma" w:eastAsia="Times New Roman" w:hAnsi="Tahoma" w:cs="Tahoma"/>
          <w:b/>
          <w:bCs/>
          <w:noProof/>
          <w:lang w:val="sr-Latn-RS"/>
        </w:rPr>
        <w:t xml:space="preserve"> </w:t>
      </w:r>
      <w:r w:rsidR="00A37D6D">
        <w:rPr>
          <w:rFonts w:ascii="Tahoma" w:eastAsia="Times New Roman" w:hAnsi="Tahoma" w:cs="Tahoma"/>
          <w:noProof/>
          <w:lang w:val="sr-Latn-RS"/>
        </w:rPr>
        <w:t xml:space="preserve">Zakonom o izmenama i dopunama Zakona o lokalnoj samoupravi omogućeno je veće uključivanje </w:t>
      </w:r>
      <w:r w:rsidR="002C454E">
        <w:rPr>
          <w:rFonts w:ascii="Tahoma" w:eastAsia="Times New Roman" w:hAnsi="Tahoma" w:cs="Tahoma"/>
          <w:noProof/>
          <w:lang w:val="sr-Latn-RS"/>
        </w:rPr>
        <w:t xml:space="preserve">građana u proces izrade budžeta LS, posebno u delu pripreme investicionog dela budžeta (kroz proces anketiranja). Bez obzira na način predlaganja i uključivanja pojedinih kapitalnih investicionih rashoda u budžet LS, odgovorno lice projekta treba da bude lice (kao što je i prethodno objašnjeno) iz srednje upravljačke strukture (načelnik odeljenja, rukovodilac službe ili odseka) koja upravlja, nadzire i koordiniše sprovođenje konkretnog projekta. Odgovorno lice projekta se određuje u odnosu na program </w:t>
      </w:r>
      <w:r w:rsidR="002C454E">
        <w:rPr>
          <w:rFonts w:ascii="Tahoma" w:eastAsia="Times New Roman" w:hAnsi="Tahoma" w:cs="Tahoma"/>
          <w:noProof/>
          <w:lang w:val="sr-Latn-RS"/>
        </w:rPr>
        <w:lastRenderedPageBreak/>
        <w:t xml:space="preserve">čiji se cilj ostvaruje realizacijom konkretnog projekta, a odgovorno lice </w:t>
      </w:r>
      <w:r w:rsidR="00D11AD8">
        <w:rPr>
          <w:rFonts w:ascii="Tahoma" w:eastAsia="Times New Roman" w:hAnsi="Tahoma" w:cs="Tahoma"/>
          <w:noProof/>
          <w:lang w:val="sr-Latn-RS"/>
        </w:rPr>
        <w:t>rukovodi radom</w:t>
      </w:r>
      <w:r w:rsidR="002C454E">
        <w:rPr>
          <w:rFonts w:ascii="Tahoma" w:eastAsia="Times New Roman" w:hAnsi="Tahoma" w:cs="Tahoma"/>
          <w:noProof/>
          <w:lang w:val="sr-Latn-RS"/>
        </w:rPr>
        <w:t xml:space="preserve"> organizacion</w:t>
      </w:r>
      <w:r w:rsidR="00D11AD8">
        <w:rPr>
          <w:rFonts w:ascii="Tahoma" w:eastAsia="Times New Roman" w:hAnsi="Tahoma" w:cs="Tahoma"/>
          <w:noProof/>
          <w:lang w:val="sr-Latn-RS"/>
        </w:rPr>
        <w:t>e</w:t>
      </w:r>
      <w:r w:rsidR="002C454E">
        <w:rPr>
          <w:rFonts w:ascii="Tahoma" w:eastAsia="Times New Roman" w:hAnsi="Tahoma" w:cs="Tahoma"/>
          <w:noProof/>
          <w:lang w:val="sr-Latn-RS"/>
        </w:rPr>
        <w:t xml:space="preserve"> jedinic</w:t>
      </w:r>
      <w:r w:rsidR="00D11AD8">
        <w:rPr>
          <w:rFonts w:ascii="Tahoma" w:eastAsia="Times New Roman" w:hAnsi="Tahoma" w:cs="Tahoma"/>
          <w:noProof/>
          <w:lang w:val="sr-Latn-RS"/>
        </w:rPr>
        <w:t>e</w:t>
      </w:r>
      <w:r w:rsidR="002C454E">
        <w:rPr>
          <w:rFonts w:ascii="Tahoma" w:eastAsia="Times New Roman" w:hAnsi="Tahoma" w:cs="Tahoma"/>
          <w:noProof/>
          <w:lang w:val="sr-Latn-RS"/>
        </w:rPr>
        <w:t xml:space="preserve"> koja je zadužena za sprovođenje konkretnog programa na nivou LS. </w:t>
      </w:r>
    </w:p>
    <w:p w14:paraId="2C0FF572" w14:textId="77777777" w:rsidR="002C454E" w:rsidRDefault="002C454E" w:rsidP="002452AC">
      <w:pPr>
        <w:spacing w:after="100" w:line="240" w:lineRule="auto"/>
        <w:jc w:val="both"/>
        <w:rPr>
          <w:rFonts w:ascii="Tahoma" w:eastAsia="Times New Roman" w:hAnsi="Tahoma" w:cs="Tahoma"/>
          <w:b/>
          <w:bCs/>
          <w:noProof/>
          <w:lang w:val="sr-Latn-RS"/>
        </w:rPr>
      </w:pPr>
    </w:p>
    <w:p w14:paraId="2EC00125" w14:textId="124D39F6" w:rsidR="002452AC" w:rsidRPr="0004711B" w:rsidRDefault="00F4307D" w:rsidP="002452AC">
      <w:pPr>
        <w:spacing w:after="100" w:line="240" w:lineRule="auto"/>
        <w:jc w:val="both"/>
        <w:rPr>
          <w:rFonts w:ascii="Tahoma" w:eastAsia="Times New Roman" w:hAnsi="Tahoma" w:cs="Tahoma"/>
          <w:noProof/>
          <w:lang w:val="sr-Latn-RS"/>
        </w:rPr>
      </w:pPr>
      <w:r>
        <w:rPr>
          <w:rFonts w:ascii="Tahoma" w:eastAsia="Times New Roman" w:hAnsi="Tahoma" w:cs="Tahoma"/>
          <w:b/>
          <w:bCs/>
          <w:noProof/>
          <w:lang w:val="sr-Latn-RS"/>
        </w:rPr>
        <w:t xml:space="preserve">14. </w:t>
      </w:r>
      <w:r w:rsidR="002452AC" w:rsidRPr="007F5044">
        <w:rPr>
          <w:rFonts w:ascii="Tahoma" w:eastAsia="Times New Roman" w:hAnsi="Tahoma" w:cs="Tahoma"/>
          <w:b/>
          <w:bCs/>
          <w:noProof/>
          <w:lang w:val="sr-Latn-RS"/>
        </w:rPr>
        <w:t xml:space="preserve">Pitanje: </w:t>
      </w:r>
      <w:r w:rsidR="006257C7">
        <w:rPr>
          <w:rFonts w:ascii="Tahoma" w:eastAsia="Times New Roman" w:hAnsi="Tahoma" w:cs="Tahoma"/>
          <w:noProof/>
          <w:lang w:val="sr-Latn-RS"/>
        </w:rPr>
        <w:t>Na koji način</w:t>
      </w:r>
      <w:r w:rsidR="0004711B">
        <w:rPr>
          <w:rFonts w:ascii="Tahoma" w:eastAsia="Times New Roman" w:hAnsi="Tahoma" w:cs="Tahoma"/>
          <w:noProof/>
          <w:lang w:val="sr-Latn-RS"/>
        </w:rPr>
        <w:t xml:space="preserve"> treba planirati sredstva za sufinansiranje </w:t>
      </w:r>
      <w:r w:rsidR="006257C7">
        <w:rPr>
          <w:rFonts w:ascii="Tahoma" w:eastAsia="Times New Roman" w:hAnsi="Tahoma" w:cs="Tahoma"/>
          <w:noProof/>
          <w:lang w:val="sr-Latn-RS"/>
        </w:rPr>
        <w:t>aktivnosti na investicionom održavanju i unapređenju svojstava zgrade?</w:t>
      </w:r>
    </w:p>
    <w:p w14:paraId="16F8AC54" w14:textId="6D0065DF" w:rsidR="002452AC" w:rsidRPr="006257C7" w:rsidRDefault="002452AC" w:rsidP="002452AC">
      <w:pPr>
        <w:spacing w:after="100" w:line="240" w:lineRule="auto"/>
        <w:jc w:val="both"/>
        <w:rPr>
          <w:rFonts w:ascii="Tahoma" w:eastAsia="Times New Roman" w:hAnsi="Tahoma" w:cs="Tahoma"/>
          <w:noProof/>
          <w:lang w:val="sr-Latn-RS"/>
        </w:rPr>
      </w:pPr>
      <w:r w:rsidRPr="007F5044">
        <w:rPr>
          <w:rFonts w:ascii="Tahoma" w:eastAsia="Times New Roman" w:hAnsi="Tahoma" w:cs="Tahoma"/>
          <w:b/>
          <w:bCs/>
          <w:noProof/>
          <w:lang w:val="sr-Latn-RS"/>
        </w:rPr>
        <w:t>Odgovor:</w:t>
      </w:r>
      <w:r w:rsidR="006257C7">
        <w:rPr>
          <w:rFonts w:ascii="Tahoma" w:eastAsia="Times New Roman" w:hAnsi="Tahoma" w:cs="Tahoma"/>
          <w:b/>
          <w:bCs/>
          <w:noProof/>
          <w:lang w:val="sr-Latn-RS"/>
        </w:rPr>
        <w:t xml:space="preserve"> </w:t>
      </w:r>
      <w:r w:rsidR="006257C7">
        <w:rPr>
          <w:rFonts w:ascii="Tahoma" w:eastAsia="Times New Roman" w:hAnsi="Tahoma" w:cs="Tahoma"/>
          <w:noProof/>
          <w:lang w:val="sr-Latn-RS"/>
        </w:rPr>
        <w:t xml:space="preserve">Zakonom o stanovanju i održavanju zgrada predviđeno je da jedinice lokalne samouprave planiraju budžetska sredstva za sprovođenje lokalne stambene strategije i stambenih projekata, odnosno donosi program stambene podrške. Lokalna samouprava može doneti odluku o bespovratnom sufinansiranju aktivnosti na </w:t>
      </w:r>
      <w:r w:rsidR="00DE3833">
        <w:rPr>
          <w:rFonts w:ascii="Tahoma" w:eastAsia="Times New Roman" w:hAnsi="Tahoma" w:cs="Tahoma"/>
          <w:noProof/>
          <w:lang w:val="sr-Latn-RS"/>
        </w:rPr>
        <w:t xml:space="preserve">investicionom održavanju zgrada, pri tome za planiranu vrednost stambene podrške treba da opredeli sredstva u programu 1 – Urbanizam i prostorno planiranje, otvaranjem nove programske aktivnosti 1101-0005 pod nazivom „Stambena podrška“. Uslove i način dodele sredstava sufinansiranja za stambenu podršku LS moraju definisati donetom odlukom od strane lokalne skupštine. </w:t>
      </w:r>
    </w:p>
    <w:p w14:paraId="03037AA9" w14:textId="4EA92CCB" w:rsidR="002452AC" w:rsidRDefault="002452AC" w:rsidP="00F11398">
      <w:pPr>
        <w:spacing w:after="100" w:line="240" w:lineRule="auto"/>
        <w:jc w:val="both"/>
        <w:rPr>
          <w:rFonts w:ascii="Tahoma" w:eastAsia="Times New Roman" w:hAnsi="Tahoma" w:cs="Tahoma"/>
          <w:noProof/>
          <w:lang w:val="sr-Latn-RS"/>
        </w:rPr>
      </w:pPr>
    </w:p>
    <w:p w14:paraId="466DA195" w14:textId="77777777" w:rsidR="00CF476C" w:rsidRDefault="00CF476C" w:rsidP="0004711B">
      <w:pPr>
        <w:spacing w:after="100" w:line="240" w:lineRule="auto"/>
        <w:jc w:val="both"/>
        <w:rPr>
          <w:rFonts w:ascii="Tahoma" w:eastAsia="Times New Roman" w:hAnsi="Tahoma" w:cs="Tahoma"/>
          <w:noProof/>
          <w:color w:val="0070C0"/>
          <w:lang w:val="sr-Latn-RS"/>
        </w:rPr>
      </w:pPr>
    </w:p>
    <w:p w14:paraId="091C4ED7" w14:textId="1E09482D" w:rsidR="00CF476C" w:rsidRPr="00CF476C" w:rsidRDefault="00CF476C" w:rsidP="00CF476C">
      <w:pPr>
        <w:spacing w:after="100" w:line="240" w:lineRule="auto"/>
        <w:jc w:val="center"/>
        <w:rPr>
          <w:rFonts w:ascii="Tahoma" w:eastAsia="Times New Roman" w:hAnsi="Tahoma" w:cs="Tahoma"/>
          <w:noProof/>
          <w:lang w:val="sr-Latn-RS"/>
        </w:rPr>
      </w:pPr>
      <w:r w:rsidRPr="00CF476C">
        <w:rPr>
          <w:rFonts w:ascii="Tahoma" w:eastAsia="Times New Roman" w:hAnsi="Tahoma" w:cs="Tahoma"/>
          <w:noProof/>
          <w:lang w:val="sr-Latn-RS"/>
        </w:rPr>
        <w:t>*</w:t>
      </w:r>
    </w:p>
    <w:p w14:paraId="641AF5A2" w14:textId="3D8E8D64" w:rsidR="0004711B" w:rsidRPr="00CF476C" w:rsidRDefault="00CF476C" w:rsidP="0004711B">
      <w:pPr>
        <w:spacing w:after="100" w:line="240" w:lineRule="auto"/>
        <w:jc w:val="both"/>
        <w:rPr>
          <w:rFonts w:ascii="Tahoma" w:eastAsia="Times New Roman" w:hAnsi="Tahoma" w:cs="Tahoma"/>
          <w:noProof/>
          <w:lang w:val="sr-Latn-RS"/>
        </w:rPr>
      </w:pPr>
      <w:r w:rsidRPr="00CF476C">
        <w:rPr>
          <w:rFonts w:ascii="Tahoma" w:eastAsia="Times New Roman" w:hAnsi="Tahoma" w:cs="Tahoma"/>
          <w:noProof/>
          <w:lang w:val="sr-Latn-RS"/>
        </w:rPr>
        <w:t xml:space="preserve">Pitanja u vezi sa </w:t>
      </w:r>
      <w:r w:rsidR="0004711B" w:rsidRPr="00CF476C">
        <w:rPr>
          <w:rFonts w:ascii="Tahoma" w:eastAsia="Times New Roman" w:hAnsi="Tahoma" w:cs="Tahoma"/>
          <w:noProof/>
          <w:lang w:val="sr-Latn-RS"/>
        </w:rPr>
        <w:t>sprovo</w:t>
      </w:r>
      <w:r w:rsidRPr="00CF476C">
        <w:rPr>
          <w:rFonts w:ascii="Tahoma" w:eastAsia="Times New Roman" w:hAnsi="Tahoma" w:cs="Tahoma"/>
          <w:noProof/>
          <w:lang w:val="sr-Latn-RS"/>
        </w:rPr>
        <w:t>đenjem, praćenjem i realizacijom</w:t>
      </w:r>
      <w:r w:rsidR="0004711B" w:rsidRPr="00CF476C">
        <w:rPr>
          <w:rFonts w:ascii="Tahoma" w:eastAsia="Times New Roman" w:hAnsi="Tahoma" w:cs="Tahoma"/>
          <w:noProof/>
          <w:lang w:val="sr-Latn-RS"/>
        </w:rPr>
        <w:t xml:space="preserve"> kapitalnih investicija u 2020, 2021</w:t>
      </w:r>
      <w:r>
        <w:rPr>
          <w:rFonts w:ascii="Tahoma" w:eastAsia="Times New Roman" w:hAnsi="Tahoma" w:cs="Tahoma"/>
          <w:noProof/>
          <w:lang w:val="sr-Latn-RS"/>
        </w:rPr>
        <w:t>.</w:t>
      </w:r>
      <w:r w:rsidR="0004711B" w:rsidRPr="00CF476C">
        <w:rPr>
          <w:rFonts w:ascii="Tahoma" w:eastAsia="Times New Roman" w:hAnsi="Tahoma" w:cs="Tahoma"/>
          <w:noProof/>
          <w:lang w:val="sr-Latn-RS"/>
        </w:rPr>
        <w:t xml:space="preserve"> i 2022</w:t>
      </w:r>
      <w:r>
        <w:rPr>
          <w:rFonts w:ascii="Tahoma" w:eastAsia="Times New Roman" w:hAnsi="Tahoma" w:cs="Tahoma"/>
          <w:noProof/>
          <w:lang w:val="sr-Latn-RS"/>
        </w:rPr>
        <w:t>.</w:t>
      </w:r>
      <w:r w:rsidR="0004711B" w:rsidRPr="00CF476C">
        <w:rPr>
          <w:rFonts w:ascii="Tahoma" w:eastAsia="Times New Roman" w:hAnsi="Tahoma" w:cs="Tahoma"/>
          <w:noProof/>
          <w:lang w:val="sr-Latn-RS"/>
        </w:rPr>
        <w:t xml:space="preserve"> godini imajući u vidu stupanje na snagu nove Uredbe u januaru 2020. godine</w:t>
      </w:r>
      <w:r w:rsidRPr="00CF476C">
        <w:rPr>
          <w:rFonts w:ascii="Tahoma" w:eastAsia="Times New Roman" w:hAnsi="Tahoma" w:cs="Tahoma"/>
          <w:noProof/>
          <w:lang w:val="sr-Latn-RS"/>
        </w:rPr>
        <w:t xml:space="preserve">, kao i pitanja procene strateške relavenntosti i drugih koraka u skladu sa novom Uredbom – su legiitmna, ali odgovore na njih SKGO će nstojati da formuliše po objavljivanju pratećih Pravilnika uz Uredbu, dakle kada bude poznato još konkretnijih informacija.  </w:t>
      </w:r>
    </w:p>
    <w:p w14:paraId="4B284CE6" w14:textId="77777777" w:rsidR="0004711B" w:rsidRPr="00F4307D" w:rsidRDefault="0004711B" w:rsidP="00F11398">
      <w:pPr>
        <w:spacing w:after="100" w:line="240" w:lineRule="auto"/>
        <w:jc w:val="both"/>
        <w:rPr>
          <w:rFonts w:ascii="Tahoma" w:eastAsia="Times New Roman" w:hAnsi="Tahoma" w:cs="Tahoma"/>
          <w:noProof/>
          <w:color w:val="0070C0"/>
          <w:lang w:val="sr-Latn-RS"/>
        </w:rPr>
      </w:pPr>
    </w:p>
    <w:p w14:paraId="18FCA43A" w14:textId="2234F63C" w:rsidR="00FF61D2" w:rsidRPr="009502E5" w:rsidRDefault="00FF61D2" w:rsidP="009502E5">
      <w:pPr>
        <w:rPr>
          <w:rFonts w:ascii="Arial" w:hAnsi="Arial" w:cs="Arial"/>
          <w:sz w:val="18"/>
          <w:szCs w:val="18"/>
          <w:lang w:val="sr-Latn-RS"/>
        </w:rPr>
      </w:pPr>
    </w:p>
    <w:sectPr w:rsidR="00FF61D2" w:rsidRPr="009502E5" w:rsidSect="00FF61D2">
      <w:headerReference w:type="default" r:id="rId9"/>
      <w:footerReference w:type="default" r:id="rId10"/>
      <w:pgSz w:w="12240" w:h="15840"/>
      <w:pgMar w:top="1440" w:right="5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68462" w14:textId="77777777" w:rsidR="0030254A" w:rsidRDefault="0030254A" w:rsidP="009F3B4A">
      <w:pPr>
        <w:spacing w:after="0" w:line="240" w:lineRule="auto"/>
      </w:pPr>
      <w:r>
        <w:separator/>
      </w:r>
    </w:p>
  </w:endnote>
  <w:endnote w:type="continuationSeparator" w:id="0">
    <w:p w14:paraId="4198F90A" w14:textId="77777777" w:rsidR="0030254A" w:rsidRDefault="0030254A" w:rsidP="009F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0D01" w14:textId="2844E0DE" w:rsidR="00421BC8" w:rsidRPr="00FF61D2" w:rsidRDefault="00421BC8" w:rsidP="00FF61D2">
    <w:pPr>
      <w:pStyle w:val="Footer"/>
      <w:tabs>
        <w:tab w:val="clear" w:pos="4680"/>
        <w:tab w:val="clear" w:pos="9360"/>
        <w:tab w:val="left" w:pos="6450"/>
      </w:tabs>
      <w:jc w:val="right"/>
      <w:rPr>
        <w:rFonts w:ascii="Arial" w:hAnsi="Arial" w:cs="Arial"/>
        <w:sz w:val="18"/>
        <w:szCs w:val="18"/>
        <w:lang w:val="sr-Cyrl-RS"/>
      </w:rPr>
    </w:pPr>
    <w:r>
      <w:rPr>
        <w:noProof/>
      </w:rPr>
      <w:drawing>
        <wp:anchor distT="0" distB="0" distL="114300" distR="114300" simplePos="0" relativeHeight="251671552" behindDoc="0" locked="0" layoutInCell="1" allowOverlap="1" wp14:anchorId="2242034C" wp14:editId="6DC728B5">
          <wp:simplePos x="0" y="0"/>
          <wp:positionH relativeFrom="column">
            <wp:posOffset>1152525</wp:posOffset>
          </wp:positionH>
          <wp:positionV relativeFrom="paragraph">
            <wp:posOffset>27940</wp:posOffset>
          </wp:positionV>
          <wp:extent cx="1200150" cy="453390"/>
          <wp:effectExtent l="0" t="0" r="0" b="381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533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60D72DBC" wp14:editId="185613F8">
          <wp:simplePos x="0" y="0"/>
          <wp:positionH relativeFrom="column">
            <wp:posOffset>-542925</wp:posOffset>
          </wp:positionH>
          <wp:positionV relativeFrom="paragraph">
            <wp:posOffset>76200</wp:posOffset>
          </wp:positionV>
          <wp:extent cx="1562100" cy="339673"/>
          <wp:effectExtent l="0" t="0" r="0" b="381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3396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sr-Cyrl-RS"/>
      </w:rPr>
      <w:t xml:space="preserve">                                                                                                                                </w:t>
    </w:r>
    <w:r w:rsidRPr="00FF61D2">
      <w:rPr>
        <w:rFonts w:ascii="Arial" w:hAnsi="Arial" w:cs="Arial"/>
        <w:sz w:val="18"/>
        <w:szCs w:val="18"/>
        <w:lang w:val="sr-Cyrl-RS"/>
      </w:rPr>
      <w:t>Стална конференција градова и општина</w:t>
    </w:r>
  </w:p>
  <w:p w14:paraId="62F55BD9" w14:textId="77777777" w:rsidR="00421BC8" w:rsidRPr="00FF61D2" w:rsidRDefault="00421BC8" w:rsidP="00FF61D2">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Македонска 22, Београд</w:t>
    </w:r>
  </w:p>
  <w:p w14:paraId="2F70C01F" w14:textId="77777777" w:rsidR="00421BC8" w:rsidRPr="00FF61D2" w:rsidRDefault="00421BC8" w:rsidP="00FF61D2">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011/3223-446</w:t>
    </w:r>
  </w:p>
  <w:p w14:paraId="1A87B411" w14:textId="7AB09433" w:rsidR="00421BC8" w:rsidRPr="00FF61D2" w:rsidRDefault="00421BC8" w:rsidP="00FF61D2">
    <w:pPr>
      <w:pStyle w:val="Footer"/>
      <w:tabs>
        <w:tab w:val="clear" w:pos="4680"/>
        <w:tab w:val="clear" w:pos="9360"/>
        <w:tab w:val="left" w:pos="6450"/>
      </w:tabs>
      <w:ind w:left="6300"/>
      <w:jc w:val="right"/>
      <w:rPr>
        <w:rFonts w:ascii="Arial" w:hAnsi="Arial" w:cs="Arial"/>
        <w:sz w:val="18"/>
        <w:szCs w:val="18"/>
      </w:rPr>
    </w:pPr>
    <w:r w:rsidRPr="00FF61D2">
      <w:rPr>
        <w:rFonts w:ascii="Arial" w:hAnsi="Arial" w:cs="Arial"/>
        <w:sz w:val="18"/>
        <w:szCs w:val="18"/>
        <w:lang w:val="sr-Latn-RS"/>
      </w:rPr>
      <w:t>secretariat@skgo.org</w:t>
    </w:r>
    <w:r w:rsidRPr="00FF61D2">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4AE4A" w14:textId="77777777" w:rsidR="0030254A" w:rsidRDefault="0030254A" w:rsidP="009F3B4A">
      <w:pPr>
        <w:spacing w:after="0" w:line="240" w:lineRule="auto"/>
      </w:pPr>
      <w:r>
        <w:separator/>
      </w:r>
    </w:p>
  </w:footnote>
  <w:footnote w:type="continuationSeparator" w:id="0">
    <w:p w14:paraId="3C8EC39D" w14:textId="77777777" w:rsidR="0030254A" w:rsidRDefault="0030254A" w:rsidP="009F3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AF50" w14:textId="44AD7D75" w:rsidR="00421BC8" w:rsidRDefault="00421BC8" w:rsidP="00C079A1">
    <w:pPr>
      <w:pStyle w:val="Header"/>
      <w:tabs>
        <w:tab w:val="clear" w:pos="4680"/>
        <w:tab w:val="clear" w:pos="9360"/>
        <w:tab w:val="left" w:pos="7965"/>
      </w:tabs>
      <w:ind w:left="-450"/>
      <w:rPr>
        <w:noProof/>
      </w:rPr>
    </w:pPr>
    <w:r>
      <w:rPr>
        <w:noProof/>
      </w:rPr>
      <w:drawing>
        <wp:anchor distT="0" distB="0" distL="114300" distR="114300" simplePos="0" relativeHeight="251672576" behindDoc="0" locked="0" layoutInCell="1" allowOverlap="1" wp14:anchorId="799032E3" wp14:editId="3C7CC283">
          <wp:simplePos x="0" y="0"/>
          <wp:positionH relativeFrom="column">
            <wp:posOffset>3781425</wp:posOffset>
          </wp:positionH>
          <wp:positionV relativeFrom="paragraph">
            <wp:posOffset>-180975</wp:posOffset>
          </wp:positionV>
          <wp:extent cx="2787015" cy="47979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397" cy="481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2FA45832" wp14:editId="2271345A">
          <wp:simplePos x="0" y="0"/>
          <wp:positionH relativeFrom="column">
            <wp:posOffset>-542925</wp:posOffset>
          </wp:positionH>
          <wp:positionV relativeFrom="paragraph">
            <wp:posOffset>-238125</wp:posOffset>
          </wp:positionV>
          <wp:extent cx="1786060" cy="676275"/>
          <wp:effectExtent l="0" t="0" r="508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06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2984BE22" w14:textId="4017D0D4" w:rsidR="00421BC8" w:rsidRDefault="00421BC8" w:rsidP="00233A7D">
    <w:pPr>
      <w:pStyle w:val="Header"/>
      <w:ind w:left="1875"/>
      <w:rPr>
        <w:noProof/>
      </w:rPr>
    </w:pPr>
  </w:p>
  <w:p w14:paraId="75D92369" w14:textId="2AA7F9E1" w:rsidR="00421BC8" w:rsidRDefault="00421BC8" w:rsidP="00233A7D">
    <w:pPr>
      <w:pStyle w:val="Header"/>
      <w:ind w:left="1875"/>
      <w:rPr>
        <w:noProof/>
      </w:rPr>
    </w:pPr>
  </w:p>
  <w:p w14:paraId="0F5BBDDF" w14:textId="20823CC9" w:rsidR="00421BC8" w:rsidRPr="007511CA" w:rsidRDefault="00421BC8" w:rsidP="007511CA">
    <w:pPr>
      <w:pStyle w:val="Header"/>
      <w:ind w:left="450"/>
      <w:rPr>
        <w:rFonts w:ascii="Arial" w:hAnsi="Arial" w:cs="Arial"/>
        <w:b/>
        <w:bCs/>
        <w:noProof/>
        <w:sz w:val="24"/>
        <w:szCs w:val="24"/>
        <w:lang w:val="sr-Latn-RS"/>
      </w:rPr>
    </w:pPr>
    <w:r w:rsidRPr="007511CA">
      <w:rPr>
        <w:rFonts w:ascii="Arial" w:hAnsi="Arial" w:cs="Arial"/>
        <w:b/>
        <w:bCs/>
        <w:noProof/>
        <w:sz w:val="24"/>
        <w:szCs w:val="24"/>
        <w:lang w:val="sr-Cyrl-RS"/>
      </w:rPr>
      <w:t xml:space="preserve">ПРОГРАМ </w:t>
    </w:r>
    <w:r w:rsidRPr="007511CA">
      <w:rPr>
        <w:rFonts w:ascii="Arial" w:hAnsi="Arial" w:cs="Arial"/>
        <w:b/>
        <w:bCs/>
        <w:noProof/>
        <w:sz w:val="24"/>
        <w:szCs w:val="24"/>
        <w:lang w:val="sr-Latn-RS"/>
      </w:rPr>
      <w:t>EXCHANGE 5</w:t>
    </w:r>
  </w:p>
  <w:p w14:paraId="4D8FCE75" w14:textId="0D41F9DA" w:rsidR="00421BC8" w:rsidRDefault="00421BC8">
    <w:pPr>
      <w:pStyle w:val="Header"/>
    </w:pPr>
    <w:r w:rsidRPr="007511CA">
      <w:rPr>
        <w:b/>
        <w:bCs/>
        <w:noProof/>
      </w:rPr>
      <mc:AlternateContent>
        <mc:Choice Requires="wps">
          <w:drawing>
            <wp:anchor distT="0" distB="0" distL="114300" distR="114300" simplePos="0" relativeHeight="251669504" behindDoc="0" locked="0" layoutInCell="1" allowOverlap="1" wp14:anchorId="6AE9CAE7" wp14:editId="5E7F9CAB">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76CDB1"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F/1AEAAPsDAAAOAAAAZHJzL2Uyb0RvYy54bWysU8GO2yAQvVfqPyDujZ1sNq2sOHvIanup&#10;2qjbfgCLIUYLDBpo7Px9B5I4q7baQ7WXsQfmPeY9hvXd6Cw7KIwGfMvns5oz5SV0xu9b/vPHw4dP&#10;nMUkfCcseNXyo4r8bvP+3XoIjVpAD7ZTyIjEx2YILe9TCk1VRdkrJ+IMgvK0qQGdSJTivupQDMTu&#10;bLWo61U1AHYBQaoYafX+tMk3hV9rJdM3raNKzLacekslYolPOVabtWj2KEJv5LkN8R9dOGE8HTpR&#10;3Ysk2C80f1E5IxEi6DST4CrQ2khVNJCaef2HmsdeBFW0kDkxTDbFt6OVXw87ZKZr+ZIzLxxd0WNC&#10;YfZ9YlvwngwEZMvs0xBiQ+Vbv8NzFsMOs+hRo8tfksPG4u1x8laNiUlaXN0ub1YfbzmTl73qCgwY&#10;02cFjuWfllvjs2zRiMOXmOgwKr2U5GXrc4xgTfdgrC1JHhi1tcgOgq5aSKl8mue2CfuikrKMrrKY&#10;U/vlLx2tOjF/V5rsoIZvSgdlEK+83fOF03qqzBBNHUyg+nXQuTbDVBnOCbh4HThVlxPBpwnojAf8&#10;FziNl1b1qf6i+qQ1y36C7lgus9hBE1bcOr+GPMIv8wK/vtnNbwAAAP//AwBQSwMEFAAGAAgAAAAh&#10;AFqYj4TbAAAACQEAAA8AAABkcnMvZG93bnJldi54bWxMj8FOwzAQRO9I/IO1SNyoQ1UBCXEqCEJc&#10;kFBTxHkbb+OotjeK3TT8Pa44wHFnRrNvyvXsrJhoDD17BbeLDAT5lnXvOwWf29ebBxAhotdo2ZOC&#10;bwqwri4vSiw0n/yGpiZ2IpX4UKACE+NQSBlaQw7Dggfyydvz6DCmc+ykHvGUyp2Vyyy7kw57nz4Y&#10;HKg21B6ao1Mg3+XzG39Y/qp74yxvmwlfaqWur+anRxCR5vgXhjN+QocqMe346HUQVsEqX6Vk0pdp&#10;wdnP7vMcxO5XkVUp/y+ofgAAAP//AwBQSwECLQAUAAYACAAAACEAtoM4kv4AAADhAQAAEwAAAAAA&#10;AAAAAAAAAAAAAAAAW0NvbnRlbnRfVHlwZXNdLnhtbFBLAQItABQABgAIAAAAIQA4/SH/1gAAAJQB&#10;AAALAAAAAAAAAAAAAAAAAC8BAABfcmVscy8ucmVsc1BLAQItABQABgAIAAAAIQAvqHF/1AEAAPsD&#10;AAAOAAAAAAAAAAAAAAAAAC4CAABkcnMvZTJvRG9jLnhtbFBLAQItABQABgAIAAAAIQBamI+E2wAA&#10;AAkBAAAPAAAAAAAAAAAAAAAAAC4EAABkcnMvZG93bnJldi54bWxQSwUGAAAAAAQABADzAAAANgUA&#10;AAAA&#10;" strokecolor="#4472c4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1"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2" w15:restartNumberingAfterBreak="0">
    <w:nsid w:val="1A2815BF"/>
    <w:multiLevelType w:val="hybridMultilevel"/>
    <w:tmpl w:val="7A908AC6"/>
    <w:lvl w:ilvl="0" w:tplc="E06E5F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33F23"/>
    <w:multiLevelType w:val="hybridMultilevel"/>
    <w:tmpl w:val="B8D0922E"/>
    <w:lvl w:ilvl="0" w:tplc="62EA32BA">
      <w:start w:val="1"/>
      <w:numFmt w:val="bullet"/>
      <w:lvlText w:val=""/>
      <w:lvlJc w:val="left"/>
      <w:pPr>
        <w:tabs>
          <w:tab w:val="num" w:pos="720"/>
        </w:tabs>
        <w:ind w:left="720" w:hanging="360"/>
      </w:pPr>
      <w:rPr>
        <w:rFonts w:ascii="Wingdings" w:hAnsi="Wingdings" w:hint="default"/>
      </w:rPr>
    </w:lvl>
    <w:lvl w:ilvl="1" w:tplc="59C2D194">
      <w:start w:val="1"/>
      <w:numFmt w:val="bullet"/>
      <w:lvlText w:val=""/>
      <w:lvlJc w:val="left"/>
      <w:pPr>
        <w:tabs>
          <w:tab w:val="num" w:pos="1440"/>
        </w:tabs>
        <w:ind w:left="1440" w:hanging="360"/>
      </w:pPr>
      <w:rPr>
        <w:rFonts w:ascii="Wingdings" w:hAnsi="Wingdings" w:hint="default"/>
      </w:rPr>
    </w:lvl>
    <w:lvl w:ilvl="2" w:tplc="CB32E730" w:tentative="1">
      <w:start w:val="1"/>
      <w:numFmt w:val="bullet"/>
      <w:lvlText w:val=""/>
      <w:lvlJc w:val="left"/>
      <w:pPr>
        <w:tabs>
          <w:tab w:val="num" w:pos="2160"/>
        </w:tabs>
        <w:ind w:left="2160" w:hanging="360"/>
      </w:pPr>
      <w:rPr>
        <w:rFonts w:ascii="Wingdings" w:hAnsi="Wingdings" w:hint="default"/>
      </w:rPr>
    </w:lvl>
    <w:lvl w:ilvl="3" w:tplc="BBAA161C" w:tentative="1">
      <w:start w:val="1"/>
      <w:numFmt w:val="bullet"/>
      <w:lvlText w:val=""/>
      <w:lvlJc w:val="left"/>
      <w:pPr>
        <w:tabs>
          <w:tab w:val="num" w:pos="2880"/>
        </w:tabs>
        <w:ind w:left="2880" w:hanging="360"/>
      </w:pPr>
      <w:rPr>
        <w:rFonts w:ascii="Wingdings" w:hAnsi="Wingdings" w:hint="default"/>
      </w:rPr>
    </w:lvl>
    <w:lvl w:ilvl="4" w:tplc="9B0471B2" w:tentative="1">
      <w:start w:val="1"/>
      <w:numFmt w:val="bullet"/>
      <w:lvlText w:val=""/>
      <w:lvlJc w:val="left"/>
      <w:pPr>
        <w:tabs>
          <w:tab w:val="num" w:pos="3600"/>
        </w:tabs>
        <w:ind w:left="3600" w:hanging="360"/>
      </w:pPr>
      <w:rPr>
        <w:rFonts w:ascii="Wingdings" w:hAnsi="Wingdings" w:hint="default"/>
      </w:rPr>
    </w:lvl>
    <w:lvl w:ilvl="5" w:tplc="5CF0EECE" w:tentative="1">
      <w:start w:val="1"/>
      <w:numFmt w:val="bullet"/>
      <w:lvlText w:val=""/>
      <w:lvlJc w:val="left"/>
      <w:pPr>
        <w:tabs>
          <w:tab w:val="num" w:pos="4320"/>
        </w:tabs>
        <w:ind w:left="4320" w:hanging="360"/>
      </w:pPr>
      <w:rPr>
        <w:rFonts w:ascii="Wingdings" w:hAnsi="Wingdings" w:hint="default"/>
      </w:rPr>
    </w:lvl>
    <w:lvl w:ilvl="6" w:tplc="EB409BB2" w:tentative="1">
      <w:start w:val="1"/>
      <w:numFmt w:val="bullet"/>
      <w:lvlText w:val=""/>
      <w:lvlJc w:val="left"/>
      <w:pPr>
        <w:tabs>
          <w:tab w:val="num" w:pos="5040"/>
        </w:tabs>
        <w:ind w:left="5040" w:hanging="360"/>
      </w:pPr>
      <w:rPr>
        <w:rFonts w:ascii="Wingdings" w:hAnsi="Wingdings" w:hint="default"/>
      </w:rPr>
    </w:lvl>
    <w:lvl w:ilvl="7" w:tplc="9E268A7C" w:tentative="1">
      <w:start w:val="1"/>
      <w:numFmt w:val="bullet"/>
      <w:lvlText w:val=""/>
      <w:lvlJc w:val="left"/>
      <w:pPr>
        <w:tabs>
          <w:tab w:val="num" w:pos="5760"/>
        </w:tabs>
        <w:ind w:left="5760" w:hanging="360"/>
      </w:pPr>
      <w:rPr>
        <w:rFonts w:ascii="Wingdings" w:hAnsi="Wingdings" w:hint="default"/>
      </w:rPr>
    </w:lvl>
    <w:lvl w:ilvl="8" w:tplc="6186E7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724478"/>
    <w:multiLevelType w:val="hybridMultilevel"/>
    <w:tmpl w:val="0DB2A082"/>
    <w:lvl w:ilvl="0" w:tplc="2D9E8288">
      <w:numFmt w:val="bullet"/>
      <w:lvlText w:val="·"/>
      <w:lvlJc w:val="left"/>
      <w:pPr>
        <w:ind w:left="1050" w:hanging="69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63B79"/>
    <w:multiLevelType w:val="hybridMultilevel"/>
    <w:tmpl w:val="483CB066"/>
    <w:lvl w:ilvl="0" w:tplc="8B2A3EC4">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15:restartNumberingAfterBreak="0">
    <w:nsid w:val="5A33178C"/>
    <w:multiLevelType w:val="hybridMultilevel"/>
    <w:tmpl w:val="3026761A"/>
    <w:lvl w:ilvl="0" w:tplc="AF6C33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7A9D"/>
    <w:rsid w:val="00010230"/>
    <w:rsid w:val="00023DF7"/>
    <w:rsid w:val="0004711B"/>
    <w:rsid w:val="00054BB3"/>
    <w:rsid w:val="00075A3C"/>
    <w:rsid w:val="000D1541"/>
    <w:rsid w:val="00150B9B"/>
    <w:rsid w:val="001529FA"/>
    <w:rsid w:val="0016195E"/>
    <w:rsid w:val="00180C72"/>
    <w:rsid w:val="001C00EE"/>
    <w:rsid w:val="001F44C0"/>
    <w:rsid w:val="00220898"/>
    <w:rsid w:val="00227AE9"/>
    <w:rsid w:val="00233A7D"/>
    <w:rsid w:val="002452AC"/>
    <w:rsid w:val="002474D5"/>
    <w:rsid w:val="002541A0"/>
    <w:rsid w:val="002941D8"/>
    <w:rsid w:val="002970E2"/>
    <w:rsid w:val="002C454E"/>
    <w:rsid w:val="0030254A"/>
    <w:rsid w:val="00331112"/>
    <w:rsid w:val="003762A2"/>
    <w:rsid w:val="003B0DB5"/>
    <w:rsid w:val="003B3C37"/>
    <w:rsid w:val="003B3D1C"/>
    <w:rsid w:val="003E1A33"/>
    <w:rsid w:val="00404056"/>
    <w:rsid w:val="00421BC8"/>
    <w:rsid w:val="004234B7"/>
    <w:rsid w:val="00437E99"/>
    <w:rsid w:val="00444519"/>
    <w:rsid w:val="00472C9A"/>
    <w:rsid w:val="00483750"/>
    <w:rsid w:val="004A161E"/>
    <w:rsid w:val="004B7969"/>
    <w:rsid w:val="004D40C5"/>
    <w:rsid w:val="004E2814"/>
    <w:rsid w:val="00541008"/>
    <w:rsid w:val="005955DD"/>
    <w:rsid w:val="0059616B"/>
    <w:rsid w:val="005B0DFF"/>
    <w:rsid w:val="005C4598"/>
    <w:rsid w:val="005F24BE"/>
    <w:rsid w:val="006150F9"/>
    <w:rsid w:val="00624296"/>
    <w:rsid w:val="006257C7"/>
    <w:rsid w:val="00627A04"/>
    <w:rsid w:val="00632DE7"/>
    <w:rsid w:val="00645C6F"/>
    <w:rsid w:val="00676452"/>
    <w:rsid w:val="00682A56"/>
    <w:rsid w:val="006B7434"/>
    <w:rsid w:val="00713390"/>
    <w:rsid w:val="00730A0D"/>
    <w:rsid w:val="00737CF4"/>
    <w:rsid w:val="007511CA"/>
    <w:rsid w:val="00752127"/>
    <w:rsid w:val="00765F0C"/>
    <w:rsid w:val="007A4871"/>
    <w:rsid w:val="007D38F2"/>
    <w:rsid w:val="007F5044"/>
    <w:rsid w:val="0085243B"/>
    <w:rsid w:val="008557DF"/>
    <w:rsid w:val="00863C92"/>
    <w:rsid w:val="0086782B"/>
    <w:rsid w:val="00917028"/>
    <w:rsid w:val="00923083"/>
    <w:rsid w:val="0093502E"/>
    <w:rsid w:val="0094572A"/>
    <w:rsid w:val="009502E5"/>
    <w:rsid w:val="00955319"/>
    <w:rsid w:val="00975730"/>
    <w:rsid w:val="009D2022"/>
    <w:rsid w:val="009F3B4A"/>
    <w:rsid w:val="00A17AE3"/>
    <w:rsid w:val="00A37D6D"/>
    <w:rsid w:val="00A40884"/>
    <w:rsid w:val="00A44D29"/>
    <w:rsid w:val="00A65FA9"/>
    <w:rsid w:val="00A67A35"/>
    <w:rsid w:val="00A80733"/>
    <w:rsid w:val="00AA54E4"/>
    <w:rsid w:val="00AA5AD0"/>
    <w:rsid w:val="00AA7BA9"/>
    <w:rsid w:val="00C06BB2"/>
    <w:rsid w:val="00C079A1"/>
    <w:rsid w:val="00CF2F6D"/>
    <w:rsid w:val="00CF476C"/>
    <w:rsid w:val="00D11AD8"/>
    <w:rsid w:val="00D131EE"/>
    <w:rsid w:val="00D227F1"/>
    <w:rsid w:val="00D232F3"/>
    <w:rsid w:val="00DD3327"/>
    <w:rsid w:val="00DE3833"/>
    <w:rsid w:val="00E13A3D"/>
    <w:rsid w:val="00E16250"/>
    <w:rsid w:val="00E16626"/>
    <w:rsid w:val="00E26146"/>
    <w:rsid w:val="00E41A54"/>
    <w:rsid w:val="00E746DA"/>
    <w:rsid w:val="00EB22B6"/>
    <w:rsid w:val="00F02BAC"/>
    <w:rsid w:val="00F11398"/>
    <w:rsid w:val="00F36D1E"/>
    <w:rsid w:val="00F4307D"/>
    <w:rsid w:val="00F556E5"/>
    <w:rsid w:val="00F62B56"/>
    <w:rsid w:val="00F90A86"/>
    <w:rsid w:val="00FC3E46"/>
    <w:rsid w:val="00FF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47076"/>
  <w15:chartTrackingRefBased/>
  <w15:docId w15:val="{9BB958AD-E0AA-4248-970E-31C010CC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paragraph" w:styleId="ListParagraph">
    <w:name w:val="List Paragraph"/>
    <w:basedOn w:val="Normal"/>
    <w:uiPriority w:val="34"/>
    <w:qFormat/>
    <w:rsid w:val="00F11398"/>
    <w:pPr>
      <w:spacing w:after="200" w:line="276" w:lineRule="auto"/>
      <w:ind w:left="720"/>
      <w:contextualSpacing/>
    </w:pPr>
    <w:rPr>
      <w:lang w:val="sr-Latn-CS"/>
    </w:rPr>
  </w:style>
  <w:style w:type="paragraph" w:styleId="NormalWeb">
    <w:name w:val="Normal (Web)"/>
    <w:basedOn w:val="Normal"/>
    <w:uiPriority w:val="99"/>
    <w:unhideWhenUsed/>
    <w:rsid w:val="00F1139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CF2F6D"/>
    <w:pPr>
      <w:widowControl w:val="0"/>
      <w:autoSpaceDE w:val="0"/>
      <w:autoSpaceDN w:val="0"/>
      <w:spacing w:after="0" w:line="240" w:lineRule="auto"/>
      <w:ind w:left="232"/>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F2F6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E3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833"/>
    <w:rPr>
      <w:rFonts w:ascii="Segoe UI" w:hAnsi="Segoe UI" w:cs="Segoe UI"/>
      <w:sz w:val="18"/>
      <w:szCs w:val="18"/>
    </w:rPr>
  </w:style>
  <w:style w:type="character" w:styleId="Hyperlink">
    <w:name w:val="Hyperlink"/>
    <w:basedOn w:val="DefaultParagraphFont"/>
    <w:uiPriority w:val="99"/>
    <w:unhideWhenUsed/>
    <w:rsid w:val="003B3D1C"/>
    <w:rPr>
      <w:color w:val="0563C1" w:themeColor="hyperlink"/>
      <w:u w:val="single"/>
    </w:rPr>
  </w:style>
  <w:style w:type="character" w:styleId="UnresolvedMention">
    <w:name w:val="Unresolved Mention"/>
    <w:basedOn w:val="DefaultParagraphFont"/>
    <w:uiPriority w:val="99"/>
    <w:semiHidden/>
    <w:unhideWhenUsed/>
    <w:rsid w:val="003B3D1C"/>
    <w:rPr>
      <w:color w:val="605E5C"/>
      <w:shd w:val="clear" w:color="auto" w:fill="E1DFDD"/>
    </w:rPr>
  </w:style>
  <w:style w:type="character" w:styleId="CommentReference">
    <w:name w:val="annotation reference"/>
    <w:basedOn w:val="DefaultParagraphFont"/>
    <w:uiPriority w:val="99"/>
    <w:semiHidden/>
    <w:unhideWhenUsed/>
    <w:rsid w:val="002941D8"/>
    <w:rPr>
      <w:sz w:val="16"/>
      <w:szCs w:val="16"/>
    </w:rPr>
  </w:style>
  <w:style w:type="paragraph" w:styleId="CommentText">
    <w:name w:val="annotation text"/>
    <w:basedOn w:val="Normal"/>
    <w:link w:val="CommentTextChar"/>
    <w:uiPriority w:val="99"/>
    <w:semiHidden/>
    <w:unhideWhenUsed/>
    <w:rsid w:val="002941D8"/>
    <w:pPr>
      <w:spacing w:line="240" w:lineRule="auto"/>
    </w:pPr>
    <w:rPr>
      <w:sz w:val="20"/>
      <w:szCs w:val="20"/>
    </w:rPr>
  </w:style>
  <w:style w:type="character" w:customStyle="1" w:styleId="CommentTextChar">
    <w:name w:val="Comment Text Char"/>
    <w:basedOn w:val="DefaultParagraphFont"/>
    <w:link w:val="CommentText"/>
    <w:uiPriority w:val="99"/>
    <w:semiHidden/>
    <w:rsid w:val="002941D8"/>
  </w:style>
  <w:style w:type="paragraph" w:styleId="CommentSubject">
    <w:name w:val="annotation subject"/>
    <w:basedOn w:val="CommentText"/>
    <w:next w:val="CommentText"/>
    <w:link w:val="CommentSubjectChar"/>
    <w:uiPriority w:val="99"/>
    <w:semiHidden/>
    <w:unhideWhenUsed/>
    <w:rsid w:val="002941D8"/>
    <w:rPr>
      <w:b/>
      <w:bCs/>
    </w:rPr>
  </w:style>
  <w:style w:type="character" w:customStyle="1" w:styleId="CommentSubjectChar">
    <w:name w:val="Comment Subject Char"/>
    <w:basedOn w:val="CommentTextChar"/>
    <w:link w:val="CommentSubject"/>
    <w:uiPriority w:val="99"/>
    <w:semiHidden/>
    <w:rsid w:val="00294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39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6271">
          <w:marLeft w:val="1267"/>
          <w:marRight w:val="0"/>
          <w:marTop w:val="100"/>
          <w:marBottom w:val="0"/>
          <w:divBdr>
            <w:top w:val="none" w:sz="0" w:space="0" w:color="auto"/>
            <w:left w:val="none" w:sz="0" w:space="0" w:color="auto"/>
            <w:bottom w:val="none" w:sz="0" w:space="0" w:color="auto"/>
            <w:right w:val="none" w:sz="0" w:space="0" w:color="auto"/>
          </w:divBdr>
        </w:div>
        <w:div w:id="78255352">
          <w:marLeft w:val="1267"/>
          <w:marRight w:val="0"/>
          <w:marTop w:val="100"/>
          <w:marBottom w:val="0"/>
          <w:divBdr>
            <w:top w:val="none" w:sz="0" w:space="0" w:color="auto"/>
            <w:left w:val="none" w:sz="0" w:space="0" w:color="auto"/>
            <w:bottom w:val="none" w:sz="0" w:space="0" w:color="auto"/>
            <w:right w:val="none" w:sz="0" w:space="0" w:color="auto"/>
          </w:divBdr>
        </w:div>
      </w:divsChild>
    </w:div>
    <w:div w:id="574361569">
      <w:bodyDiv w:val="1"/>
      <w:marLeft w:val="0"/>
      <w:marRight w:val="0"/>
      <w:marTop w:val="0"/>
      <w:marBottom w:val="0"/>
      <w:divBdr>
        <w:top w:val="none" w:sz="0" w:space="0" w:color="auto"/>
        <w:left w:val="none" w:sz="0" w:space="0" w:color="auto"/>
        <w:bottom w:val="none" w:sz="0" w:space="0" w:color="auto"/>
        <w:right w:val="none" w:sz="0" w:space="0" w:color="auto"/>
      </w:divBdr>
      <w:divsChild>
        <w:div w:id="132450311">
          <w:marLeft w:val="0"/>
          <w:marRight w:val="0"/>
          <w:marTop w:val="0"/>
          <w:marBottom w:val="0"/>
          <w:divBdr>
            <w:top w:val="single" w:sz="6" w:space="3" w:color="808080"/>
            <w:left w:val="single" w:sz="6" w:space="6" w:color="808080"/>
            <w:bottom w:val="single" w:sz="6" w:space="3" w:color="243356"/>
            <w:right w:val="single" w:sz="6" w:space="6" w:color="808080"/>
          </w:divBdr>
          <w:divsChild>
            <w:div w:id="315258778">
              <w:marLeft w:val="0"/>
              <w:marRight w:val="0"/>
              <w:marTop w:val="0"/>
              <w:marBottom w:val="0"/>
              <w:divBdr>
                <w:top w:val="none" w:sz="0" w:space="0" w:color="auto"/>
                <w:left w:val="none" w:sz="0" w:space="0" w:color="auto"/>
                <w:bottom w:val="none" w:sz="0" w:space="0" w:color="auto"/>
                <w:right w:val="none" w:sz="0" w:space="0" w:color="auto"/>
              </w:divBdr>
              <w:divsChild>
                <w:div w:id="23410315">
                  <w:marLeft w:val="0"/>
                  <w:marRight w:val="0"/>
                  <w:marTop w:val="0"/>
                  <w:marBottom w:val="0"/>
                  <w:divBdr>
                    <w:top w:val="none" w:sz="0" w:space="0" w:color="auto"/>
                    <w:left w:val="none" w:sz="0" w:space="0" w:color="auto"/>
                    <w:bottom w:val="none" w:sz="0" w:space="0" w:color="auto"/>
                    <w:right w:val="none" w:sz="0" w:space="0" w:color="auto"/>
                  </w:divBdr>
                  <w:divsChild>
                    <w:div w:id="1980105902">
                      <w:marLeft w:val="0"/>
                      <w:marRight w:val="0"/>
                      <w:marTop w:val="0"/>
                      <w:marBottom w:val="0"/>
                      <w:divBdr>
                        <w:top w:val="none" w:sz="0" w:space="0" w:color="auto"/>
                        <w:left w:val="none" w:sz="0" w:space="0" w:color="auto"/>
                        <w:bottom w:val="none" w:sz="0" w:space="0" w:color="auto"/>
                        <w:right w:val="none" w:sz="0" w:space="0" w:color="auto"/>
                      </w:divBdr>
                      <w:divsChild>
                        <w:div w:id="503715468">
                          <w:marLeft w:val="0"/>
                          <w:marRight w:val="0"/>
                          <w:marTop w:val="0"/>
                          <w:marBottom w:val="0"/>
                          <w:divBdr>
                            <w:top w:val="inset" w:sz="6" w:space="0" w:color="auto"/>
                            <w:left w:val="inset" w:sz="6" w:space="8" w:color="auto"/>
                            <w:bottom w:val="inset" w:sz="6" w:space="0" w:color="auto"/>
                            <w:right w:val="inset" w:sz="6" w:space="8" w:color="auto"/>
                          </w:divBdr>
                        </w:div>
                      </w:divsChild>
                    </w:div>
                  </w:divsChild>
                </w:div>
              </w:divsChild>
            </w:div>
          </w:divsChild>
        </w:div>
        <w:div w:id="353262910">
          <w:marLeft w:val="0"/>
          <w:marRight w:val="0"/>
          <w:marTop w:val="0"/>
          <w:marBottom w:val="0"/>
          <w:divBdr>
            <w:top w:val="single" w:sz="2" w:space="0" w:color="243356"/>
            <w:left w:val="single" w:sz="6" w:space="0" w:color="243356"/>
            <w:bottom w:val="single" w:sz="2" w:space="0" w:color="243356"/>
            <w:right w:val="single" w:sz="6" w:space="0" w:color="243356"/>
          </w:divBdr>
        </w:div>
        <w:div w:id="936718748">
          <w:marLeft w:val="0"/>
          <w:marRight w:val="0"/>
          <w:marTop w:val="0"/>
          <w:marBottom w:val="0"/>
          <w:divBdr>
            <w:top w:val="single" w:sz="2" w:space="0" w:color="A3A3A3"/>
            <w:left w:val="single" w:sz="6" w:space="0" w:color="A3A3A3"/>
            <w:bottom w:val="single" w:sz="2" w:space="0" w:color="A3A3A3"/>
            <w:right w:val="single" w:sz="6" w:space="0" w:color="A3A3A3"/>
          </w:divBdr>
        </w:div>
        <w:div w:id="1195122054">
          <w:marLeft w:val="0"/>
          <w:marRight w:val="0"/>
          <w:marTop w:val="0"/>
          <w:marBottom w:val="0"/>
          <w:divBdr>
            <w:top w:val="single" w:sz="2" w:space="0" w:color="A3A3A3"/>
            <w:left w:val="single" w:sz="6" w:space="0" w:color="A3A3A3"/>
            <w:bottom w:val="single" w:sz="2" w:space="0" w:color="A3A3A3"/>
            <w:right w:val="single" w:sz="6" w:space="0" w:color="A3A3A3"/>
          </w:divBdr>
        </w:div>
        <w:div w:id="628172695">
          <w:marLeft w:val="0"/>
          <w:marRight w:val="0"/>
          <w:marTop w:val="0"/>
          <w:marBottom w:val="0"/>
          <w:divBdr>
            <w:top w:val="single" w:sz="2" w:space="0" w:color="A3A3A3"/>
            <w:left w:val="single" w:sz="6" w:space="0" w:color="A3A3A3"/>
            <w:bottom w:val="single" w:sz="2" w:space="0" w:color="A3A3A3"/>
            <w:right w:val="single" w:sz="6" w:space="0" w:color="A3A3A3"/>
          </w:divBdr>
        </w:div>
        <w:div w:id="1855880689">
          <w:marLeft w:val="0"/>
          <w:marRight w:val="0"/>
          <w:marTop w:val="0"/>
          <w:marBottom w:val="0"/>
          <w:divBdr>
            <w:top w:val="single" w:sz="2" w:space="0" w:color="A3A3A3"/>
            <w:left w:val="single" w:sz="6" w:space="0" w:color="A3A3A3"/>
            <w:bottom w:val="single" w:sz="2" w:space="0" w:color="A3A3A3"/>
            <w:right w:val="single" w:sz="6" w:space="0" w:color="A3A3A3"/>
          </w:divBdr>
        </w:div>
      </w:divsChild>
    </w:div>
    <w:div w:id="768935883">
      <w:bodyDiv w:val="1"/>
      <w:marLeft w:val="0"/>
      <w:marRight w:val="0"/>
      <w:marTop w:val="0"/>
      <w:marBottom w:val="0"/>
      <w:divBdr>
        <w:top w:val="none" w:sz="0" w:space="0" w:color="auto"/>
        <w:left w:val="none" w:sz="0" w:space="0" w:color="auto"/>
        <w:bottom w:val="none" w:sz="0" w:space="0" w:color="auto"/>
        <w:right w:val="none" w:sz="0" w:space="0" w:color="auto"/>
      </w:divBdr>
    </w:div>
    <w:div w:id="20468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kgo.org/strane/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malo e CIR</Template>
  <TotalTime>13</TotalTime>
  <Pages>8</Pages>
  <Words>3915</Words>
  <Characters>22322</Characters>
  <Application>Microsoft Office Word</Application>
  <DocSecurity>0</DocSecurity>
  <Lines>186</Lines>
  <Paragraphs>52</Paragraphs>
  <ScaleCrop>false</ScaleCrop>
  <HeadingPairs>
    <vt:vector size="6" baseType="variant">
      <vt:variant>
        <vt:lpstr>Title</vt:lpstr>
      </vt:variant>
      <vt:variant>
        <vt:i4>1</vt:i4>
      </vt:variant>
      <vt:variant>
        <vt:lpstr>Cím</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Mirjana Knezevic</cp:lastModifiedBy>
  <cp:revision>3</cp:revision>
  <cp:lastPrinted>2019-12-12T17:40:00Z</cp:lastPrinted>
  <dcterms:created xsi:type="dcterms:W3CDTF">2019-12-12T17:50:00Z</dcterms:created>
  <dcterms:modified xsi:type="dcterms:W3CDTF">2019-12-12T17:54:00Z</dcterms:modified>
</cp:coreProperties>
</file>