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F9F0" w14:textId="77777777" w:rsidR="00D76B7D" w:rsidRDefault="00D76B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9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2"/>
      </w:tblGrid>
      <w:tr w:rsidR="00D76B7D" w14:paraId="4C49F9F6" w14:textId="77777777">
        <w:tc>
          <w:tcPr>
            <w:tcW w:w="9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49F9F1" w14:textId="77777777" w:rsidR="00D76B7D" w:rsidRDefault="00517410">
            <w:pPr>
              <w:spacing w:before="240" w:after="12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СМЕРНИЦЕ ЗА ПОДНОШЕЊЕ ПРИЈАВА</w:t>
            </w:r>
          </w:p>
          <w:p w14:paraId="4C49F9F2" w14:textId="77777777" w:rsidR="00D76B7D" w:rsidRDefault="00517410">
            <w:pPr>
              <w:spacing w:after="12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ЗА</w:t>
            </w:r>
          </w:p>
          <w:p w14:paraId="4C49F9F3" w14:textId="5CB1DAE3" w:rsidR="00D76B7D" w:rsidRDefault="00517410">
            <w:pPr>
              <w:spacing w:after="12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ПАКЕТ ПОДРШКЕ ЗА УНАПРЕЂЕЊЕ АДМИНИСТРАТИВНЕ ЕФИКАСНОСТИ И ДЕЛОТВОРНОСТИ</w:t>
            </w:r>
          </w:p>
          <w:p w14:paraId="4C49F9F4" w14:textId="77777777" w:rsidR="00D76B7D" w:rsidRDefault="0051741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(референтни број позива ПП-01/2023)</w:t>
            </w:r>
          </w:p>
          <w:p w14:paraId="4C49F9F5" w14:textId="77777777" w:rsidR="00D76B7D" w:rsidRDefault="00D76B7D"/>
        </w:tc>
      </w:tr>
    </w:tbl>
    <w:p w14:paraId="4C49F9F7" w14:textId="77777777" w:rsidR="00D76B7D" w:rsidRDefault="00D76B7D">
      <w:pPr>
        <w:spacing w:after="0"/>
      </w:pPr>
    </w:p>
    <w:p w14:paraId="4C49F9F8" w14:textId="300D3F71" w:rsidR="00D76B7D" w:rsidRDefault="00517410">
      <w:pPr>
        <w:spacing w:after="240"/>
        <w:jc w:val="both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У овом документу (Смерниц</w:t>
      </w:r>
      <w:sdt>
        <w:sdtPr>
          <w:tag w:val="goog_rdk_0"/>
          <w:id w:val="-910847527"/>
          <w:placeholder>
            <w:docPart w:val="8781C8D48F9E416D98C772EFD09ED065"/>
          </w:placeholder>
        </w:sdtPr>
        <w:sdtEndPr/>
        <w:sdtContent>
          <w:r>
            <w:rPr>
              <w:rFonts w:ascii="Tahoma" w:eastAsia="Tahoma" w:hAnsi="Tahoma" w:cs="Tahoma"/>
              <w:i/>
              <w:sz w:val="20"/>
              <w:szCs w:val="20"/>
            </w:rPr>
            <w:t>е</w:t>
          </w:r>
        </w:sdtContent>
      </w:sdt>
      <w:sdt>
        <w:sdtPr>
          <w:tag w:val="goog_rdk_1"/>
          <w:id w:val="-1923321527"/>
          <w:placeholder>
            <w:docPart w:val="8781C8D48F9E416D98C772EFD09ED065"/>
          </w:placeholder>
        </w:sdtPr>
        <w:sdtEndPr/>
        <w:sdtContent>
          <w:r w:rsidR="002A6061" w:rsidRPr="00921029">
            <w:t xml:space="preserve"> </w:t>
          </w:r>
        </w:sdtContent>
      </w:sdt>
      <w:r>
        <w:rPr>
          <w:rFonts w:ascii="Tahoma" w:eastAsia="Tahoma" w:hAnsi="Tahoma" w:cs="Tahoma"/>
          <w:i/>
          <w:sz w:val="20"/>
          <w:szCs w:val="20"/>
        </w:rPr>
        <w:t xml:space="preserve">за подношење пријава) дата су упутства за градове, општине и градске општине који се пријављују за Пакет подршке за унапређење административне ефикасности и делотворности на локалном нивоу (у даљем тексту: Пакет подршке). Смернице садрже информације у вези са општим условима за подношење пријава, информације о начину попуњавања Пријавног формулара за пакет подршке, </w:t>
      </w:r>
      <w:r w:rsidR="520A7B41" w:rsidRPr="7F9E3183">
        <w:rPr>
          <w:rFonts w:ascii="Tahoma" w:eastAsia="Tahoma" w:hAnsi="Tahoma" w:cs="Tahoma"/>
          <w:i/>
          <w:iCs/>
          <w:sz w:val="20"/>
          <w:szCs w:val="20"/>
        </w:rPr>
        <w:t>као</w:t>
      </w:r>
      <w:r>
        <w:rPr>
          <w:rFonts w:ascii="Tahoma" w:eastAsia="Tahoma" w:hAnsi="Tahoma" w:cs="Tahoma"/>
          <w:i/>
          <w:sz w:val="20"/>
          <w:szCs w:val="20"/>
        </w:rPr>
        <w:t xml:space="preserve"> и информације o критеријумима и поступку доделе пакета подршке.</w:t>
      </w:r>
    </w:p>
    <w:p w14:paraId="4C49F9F9" w14:textId="77777777" w:rsidR="00D76B7D" w:rsidRDefault="005174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284" w:hanging="270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УВОД</w:t>
      </w:r>
    </w:p>
    <w:p w14:paraId="4C49F9FA" w14:textId="280234DE" w:rsidR="00D76B7D" w:rsidRDefault="0051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bookmarkStart w:id="0" w:name="_heading=h.gjdgxs" w:colFirst="0" w:colLast="0"/>
      <w:bookmarkEnd w:id="0"/>
      <w:r w:rsidRPr="56CB109B">
        <w:rPr>
          <w:rFonts w:ascii="Tahoma" w:eastAsia="Tahoma" w:hAnsi="Tahoma" w:cs="Tahoma"/>
          <w:color w:val="000000" w:themeColor="text1"/>
          <w:sz w:val="20"/>
          <w:szCs w:val="20"/>
        </w:rPr>
        <w:t xml:space="preserve">Позив за подношење пријава за пакет подршке за унапређење </w:t>
      </w:r>
      <w:r w:rsidR="003E6D33" w:rsidRPr="56CB109B">
        <w:rPr>
          <w:rFonts w:ascii="Tahoma" w:eastAsia="Tahoma" w:hAnsi="Tahoma" w:cs="Tahoma"/>
          <w:color w:val="000000" w:themeColor="text1"/>
          <w:sz w:val="20"/>
          <w:szCs w:val="20"/>
          <w:lang w:val="sr-Cyrl-RS"/>
        </w:rPr>
        <w:t xml:space="preserve">административне ефикасности и </w:t>
      </w:r>
      <w:r w:rsidR="39F88730" w:rsidRPr="56CB109B">
        <w:rPr>
          <w:rFonts w:ascii="Tahoma" w:eastAsia="Tahoma" w:hAnsi="Tahoma" w:cs="Tahoma"/>
          <w:color w:val="000000" w:themeColor="text1"/>
          <w:sz w:val="20"/>
          <w:szCs w:val="20"/>
          <w:lang w:val="sr-Cyrl-RS"/>
        </w:rPr>
        <w:t>делотворности</w:t>
      </w:r>
      <w:r w:rsidRPr="56CB109B">
        <w:rPr>
          <w:rFonts w:ascii="Tahoma" w:eastAsia="Tahoma" w:hAnsi="Tahoma" w:cs="Tahoma"/>
          <w:color w:val="000000" w:themeColor="text1"/>
          <w:sz w:val="20"/>
          <w:szCs w:val="20"/>
        </w:rPr>
        <w:t xml:space="preserve"> на локалном нивоу објављен је у оквиру пројекта </w:t>
      </w:r>
      <w:r w:rsidRPr="56CB109B">
        <w:rPr>
          <w:rFonts w:ascii="Tahoma" w:eastAsia="Tahoma" w:hAnsi="Tahoma" w:cs="Tahoma"/>
          <w:b/>
          <w:color w:val="000000" w:themeColor="text1"/>
          <w:sz w:val="20"/>
          <w:szCs w:val="20"/>
        </w:rPr>
        <w:t>„Унапређење примене принципа доброг управљања у локалним самоуправама“</w:t>
      </w:r>
      <w:r w:rsidRPr="56CB109B">
        <w:rPr>
          <w:rFonts w:ascii="Tahoma" w:eastAsia="Tahoma" w:hAnsi="Tahoma" w:cs="Tahoma"/>
          <w:color w:val="000000" w:themeColor="text1"/>
          <w:sz w:val="20"/>
          <w:szCs w:val="20"/>
        </w:rPr>
        <w:t xml:space="preserve"> који спроводи Стална конференција градова и општина – Савез градова и општина Србије (у даљем тексту: СКГО) у оквиру програма „</w:t>
      </w:r>
      <w:r w:rsidRPr="56CB109B">
        <w:rPr>
          <w:rFonts w:ascii="Tahoma" w:eastAsia="Tahoma" w:hAnsi="Tahoma" w:cs="Tahoma"/>
          <w:b/>
          <w:color w:val="000000" w:themeColor="text1"/>
          <w:sz w:val="20"/>
          <w:szCs w:val="20"/>
        </w:rPr>
        <w:t>ПРО - Локално управљање за људе и природу“</w:t>
      </w:r>
      <w:r w:rsidRPr="56CB109B">
        <w:rPr>
          <w:rFonts w:ascii="Tahoma" w:eastAsia="Tahoma" w:hAnsi="Tahoma" w:cs="Tahoma"/>
          <w:color w:val="000000" w:themeColor="text1"/>
          <w:sz w:val="20"/>
          <w:szCs w:val="20"/>
        </w:rPr>
        <w:t xml:space="preserve">, који заједнички спроводе агенције Уједињених нација у Србији - УНОПС, УНИЦЕФ, УНФПА и УНЕП, у сарадњи са Владом Републике Србије и уз финансијску подршку Владе Швајцарске. </w:t>
      </w:r>
    </w:p>
    <w:p w14:paraId="3DDF563A" w14:textId="77777777" w:rsidR="00077C82" w:rsidRDefault="00517410" w:rsidP="00077C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ahoma" w:eastAsia="Tahoma" w:hAnsi="Tahoma" w:cs="Tahoma"/>
          <w:color w:val="000000"/>
          <w:sz w:val="20"/>
          <w:szCs w:val="20"/>
          <w:lang w:val="sr-Cyrl-RS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Пројекат „Унапређење примене принципа доброг управљања у локалним самоуправама“ настоји да обезбеди подршку јединицама локалне самоуправе (у даљем тексту: ЈЛС) у јачању капацитета потребних за усвајање и примену принципа доброг управљања (владавина права, одговорност, ефикасност, делотворност, транспарентност, партиципација), у свакодневној пракси у циљу професионализације и модернизације рада локалне самоуправе.</w:t>
      </w:r>
      <w:r w:rsidR="00077C82">
        <w:rPr>
          <w:rFonts w:ascii="Tahoma" w:eastAsia="Tahoma" w:hAnsi="Tahoma" w:cs="Tahoma"/>
          <w:color w:val="000000"/>
          <w:sz w:val="20"/>
          <w:szCs w:val="20"/>
          <w:lang w:val="sr-Cyrl-RS"/>
        </w:rPr>
        <w:t xml:space="preserve"> </w:t>
      </w:r>
    </w:p>
    <w:p w14:paraId="33CFC0F1" w14:textId="66BB635A" w:rsidR="00077C82" w:rsidRPr="00077C82" w:rsidRDefault="00517410" w:rsidP="00077C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7F9E3183">
        <w:rPr>
          <w:rFonts w:ascii="Tahoma" w:eastAsia="Tahoma" w:hAnsi="Tahoma" w:cs="Tahoma"/>
          <w:color w:val="000000" w:themeColor="text1"/>
          <w:sz w:val="20"/>
          <w:szCs w:val="20"/>
        </w:rPr>
        <w:t xml:space="preserve">Стратегијом реформе јавне управе и акционим плановима за њено спровођење, између осталог обухваћено је и јачање капацитета градова и општина за ефикасно спровођење јавних послова и процедура уз примену принципа добре управе, као и реформа административних процедура и  стандардизација административног поступања у циљу унапређења административне ефикасности и делотворности на локалном нивоу. Такође, Закон о општем управном поступку и Закон о електронској управи успостављају нова начела и правила административног поступања која изискују одговарајућа процедурална, организациона и </w:t>
      </w:r>
      <w:r w:rsidR="5E832448" w:rsidRPr="7F9E3183">
        <w:rPr>
          <w:rFonts w:ascii="Tahoma" w:eastAsia="Tahoma" w:hAnsi="Tahoma" w:cs="Tahoma"/>
          <w:color w:val="000000" w:themeColor="text1"/>
          <w:sz w:val="20"/>
          <w:szCs w:val="20"/>
        </w:rPr>
        <w:t>инфраструктурна</w:t>
      </w:r>
      <w:r w:rsidRPr="7F9E3183">
        <w:rPr>
          <w:rFonts w:ascii="Tahoma" w:eastAsia="Tahoma" w:hAnsi="Tahoma" w:cs="Tahoma"/>
          <w:color w:val="000000" w:themeColor="text1"/>
          <w:sz w:val="20"/>
          <w:szCs w:val="20"/>
        </w:rPr>
        <w:t xml:space="preserve"> унапређења у локалним самоуправама. Закон о регистру административних поступака обавезуј</w:t>
      </w:r>
      <w:r w:rsidR="00F62835">
        <w:rPr>
          <w:rFonts w:ascii="Tahoma" w:eastAsia="Tahoma" w:hAnsi="Tahoma" w:cs="Tahoma"/>
          <w:color w:val="000000" w:themeColor="text1"/>
          <w:sz w:val="20"/>
          <w:szCs w:val="20"/>
          <w:lang w:val="sr-Latn-RS"/>
        </w:rPr>
        <w:t>e</w:t>
      </w:r>
      <w:r w:rsidRPr="7F9E3183">
        <w:rPr>
          <w:rFonts w:ascii="Tahoma" w:eastAsia="Tahoma" w:hAnsi="Tahoma" w:cs="Tahoma"/>
          <w:color w:val="000000" w:themeColor="text1"/>
          <w:sz w:val="20"/>
          <w:szCs w:val="20"/>
        </w:rPr>
        <w:t xml:space="preserve"> јединице локалне самоуправе да унесу кључне </w:t>
      </w:r>
      <w:r w:rsidR="018952F5" w:rsidRPr="7F9E3183">
        <w:rPr>
          <w:rFonts w:ascii="Tahoma" w:eastAsia="Tahoma" w:hAnsi="Tahoma" w:cs="Tahoma"/>
          <w:color w:val="000000" w:themeColor="text1"/>
          <w:sz w:val="20"/>
          <w:szCs w:val="20"/>
        </w:rPr>
        <w:t>информације</w:t>
      </w:r>
      <w:r w:rsidRPr="7F9E3183">
        <w:rPr>
          <w:rFonts w:ascii="Tahoma" w:eastAsia="Tahoma" w:hAnsi="Tahoma" w:cs="Tahoma"/>
          <w:color w:val="000000" w:themeColor="text1"/>
          <w:sz w:val="20"/>
          <w:szCs w:val="20"/>
        </w:rPr>
        <w:t xml:space="preserve"> о поступцима које спроводе ради обезбеђивања </w:t>
      </w:r>
      <w:r w:rsidR="33E63608" w:rsidRPr="7F9E3183">
        <w:rPr>
          <w:rFonts w:ascii="Tahoma" w:eastAsia="Tahoma" w:hAnsi="Tahoma" w:cs="Tahoma"/>
          <w:color w:val="000000" w:themeColor="text1"/>
          <w:sz w:val="20"/>
          <w:szCs w:val="20"/>
        </w:rPr>
        <w:t>транспарентности</w:t>
      </w:r>
      <w:r w:rsidRPr="7F9E3183">
        <w:rPr>
          <w:rFonts w:ascii="Tahoma" w:eastAsia="Tahoma" w:hAnsi="Tahoma" w:cs="Tahoma"/>
          <w:color w:val="000000" w:themeColor="text1"/>
          <w:sz w:val="20"/>
          <w:szCs w:val="20"/>
        </w:rPr>
        <w:t xml:space="preserve"> рада и ефективности/делотворности поступака намењених грађанима и привреди.</w:t>
      </w:r>
      <w:r w:rsidR="00077C82">
        <w:rPr>
          <w:rFonts w:ascii="Tahoma" w:eastAsia="Tahoma" w:hAnsi="Tahoma" w:cs="Tahoma"/>
          <w:color w:val="000000" w:themeColor="text1"/>
          <w:sz w:val="20"/>
          <w:szCs w:val="20"/>
          <w:lang w:val="sr-Cyrl-RS"/>
        </w:rPr>
        <w:t xml:space="preserve"> </w:t>
      </w:r>
    </w:p>
    <w:p w14:paraId="4C49F9FE" w14:textId="60EF56C0" w:rsidR="00D76B7D" w:rsidRPr="00A21599" w:rsidRDefault="00517410" w:rsidP="00FA69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7F9E3183">
        <w:rPr>
          <w:rFonts w:ascii="Tahoma" w:eastAsia="Tahoma" w:hAnsi="Tahoma" w:cs="Tahoma"/>
          <w:color w:val="000000" w:themeColor="text1"/>
          <w:sz w:val="20"/>
          <w:szCs w:val="20"/>
        </w:rPr>
        <w:t>Пакет подршке за градове</w:t>
      </w:r>
      <w:r w:rsidR="00CF00B9">
        <w:rPr>
          <w:rFonts w:ascii="Tahoma" w:eastAsia="Tahoma" w:hAnsi="Tahoma" w:cs="Tahoma"/>
          <w:color w:val="000000" w:themeColor="text1"/>
          <w:sz w:val="20"/>
          <w:szCs w:val="20"/>
          <w:lang w:val="sr-Latn-RS"/>
        </w:rPr>
        <w:t xml:space="preserve">, </w:t>
      </w:r>
      <w:r w:rsidRPr="7F9E3183">
        <w:rPr>
          <w:rFonts w:ascii="Tahoma" w:eastAsia="Tahoma" w:hAnsi="Tahoma" w:cs="Tahoma"/>
          <w:color w:val="000000" w:themeColor="text1"/>
          <w:sz w:val="20"/>
          <w:szCs w:val="20"/>
        </w:rPr>
        <w:t xml:space="preserve">општине </w:t>
      </w:r>
      <w:r w:rsidR="00CF00B9">
        <w:rPr>
          <w:rFonts w:ascii="Tahoma" w:eastAsia="Tahoma" w:hAnsi="Tahoma" w:cs="Tahoma"/>
          <w:color w:val="000000" w:themeColor="text1"/>
          <w:sz w:val="20"/>
          <w:szCs w:val="20"/>
          <w:lang w:val="sr-Cyrl-RS"/>
        </w:rPr>
        <w:t xml:space="preserve">и градске општине </w:t>
      </w:r>
      <w:r w:rsidRPr="7F9E3183">
        <w:rPr>
          <w:rFonts w:ascii="Tahoma" w:eastAsia="Tahoma" w:hAnsi="Tahoma" w:cs="Tahoma"/>
          <w:color w:val="000000" w:themeColor="text1"/>
          <w:sz w:val="20"/>
          <w:szCs w:val="20"/>
        </w:rPr>
        <w:t xml:space="preserve">у области административне ефикасности и делотворности креиран </w:t>
      </w:r>
      <w:r w:rsidR="00CF00B9">
        <w:rPr>
          <w:rFonts w:ascii="Tahoma" w:eastAsia="Tahoma" w:hAnsi="Tahoma" w:cs="Tahoma"/>
          <w:color w:val="000000" w:themeColor="text1"/>
          <w:sz w:val="20"/>
          <w:szCs w:val="20"/>
          <w:lang w:val="sr-Cyrl-RS"/>
        </w:rPr>
        <w:t>је</w:t>
      </w:r>
      <w:r w:rsidRPr="7F9E3183">
        <w:rPr>
          <w:rFonts w:ascii="Tahoma" w:eastAsia="Tahoma" w:hAnsi="Tahoma" w:cs="Tahoma"/>
          <w:color w:val="000000" w:themeColor="text1"/>
          <w:sz w:val="20"/>
          <w:szCs w:val="20"/>
        </w:rPr>
        <w:t xml:space="preserve"> управо у циљу стручне подршке локалним </w:t>
      </w:r>
      <w:r w:rsidR="63C49051" w:rsidRPr="7F9E3183">
        <w:rPr>
          <w:rFonts w:ascii="Tahoma" w:eastAsia="Tahoma" w:hAnsi="Tahoma" w:cs="Tahoma"/>
          <w:color w:val="000000" w:themeColor="text1"/>
          <w:sz w:val="20"/>
          <w:szCs w:val="20"/>
        </w:rPr>
        <w:t>самоуправама</w:t>
      </w:r>
      <w:r w:rsidRPr="7F9E3183">
        <w:rPr>
          <w:rFonts w:ascii="Tahoma" w:eastAsia="Tahoma" w:hAnsi="Tahoma" w:cs="Tahoma"/>
          <w:color w:val="000000" w:themeColor="text1"/>
          <w:sz w:val="20"/>
          <w:szCs w:val="20"/>
        </w:rPr>
        <w:t xml:space="preserve"> у остварењ</w:t>
      </w:r>
      <w:r w:rsidR="00CF00B9">
        <w:rPr>
          <w:rFonts w:ascii="Tahoma" w:eastAsia="Tahoma" w:hAnsi="Tahoma" w:cs="Tahoma"/>
          <w:color w:val="000000" w:themeColor="text1"/>
          <w:sz w:val="20"/>
          <w:szCs w:val="20"/>
          <w:lang w:val="sr-Cyrl-RS"/>
        </w:rPr>
        <w:t>у</w:t>
      </w:r>
      <w:r w:rsidRPr="7F9E3183">
        <w:rPr>
          <w:rFonts w:ascii="Tahoma" w:eastAsia="Tahoma" w:hAnsi="Tahoma" w:cs="Tahoma"/>
          <w:color w:val="000000" w:themeColor="text1"/>
          <w:sz w:val="20"/>
          <w:szCs w:val="20"/>
        </w:rPr>
        <w:t xml:space="preserve"> предметних циљева и законских обавеза.</w:t>
      </w:r>
    </w:p>
    <w:p w14:paraId="4C49F9FF" w14:textId="77777777" w:rsidR="00D76B7D" w:rsidRDefault="005174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284" w:hanging="270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lastRenderedPageBreak/>
        <w:t>ОПШТИ УСЛОВИ ПОДНОШЕЊА ПРИЈАВА</w:t>
      </w:r>
    </w:p>
    <w:p w14:paraId="4C49FA00" w14:textId="77777777" w:rsidR="00D76B7D" w:rsidRDefault="005174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line="264" w:lineRule="auto"/>
        <w:ind w:left="851" w:hanging="567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Право на учешће у позиву </w:t>
      </w:r>
    </w:p>
    <w:p w14:paraId="4C49FA01" w14:textId="4AC6EA3F" w:rsidR="00D76B7D" w:rsidRDefault="00517410">
      <w:pPr>
        <w:spacing w:line="240" w:lineRule="auto"/>
        <w:jc w:val="both"/>
        <w:rPr>
          <w:rFonts w:ascii="Tahoma" w:eastAsia="Tahoma" w:hAnsi="Tahoma" w:cs="Tahoma"/>
          <w:color w:val="FF0000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Право на учешће у позиву за подношење пријава за Пакет подршке за унапређење административне ефикасности и делотворности на локалном нивоу имају све јединице </w:t>
      </w:r>
      <w:r>
        <w:rPr>
          <w:rFonts w:ascii="Tahoma" w:eastAsia="Tahoma" w:hAnsi="Tahoma" w:cs="Tahoma"/>
          <w:b/>
          <w:sz w:val="20"/>
          <w:szCs w:val="20"/>
        </w:rPr>
        <w:t xml:space="preserve">локалне самоуправе (градови и општине) укључујући и градске општине </w:t>
      </w:r>
      <w:r>
        <w:rPr>
          <w:rFonts w:ascii="Tahoma" w:eastAsia="Tahoma" w:hAnsi="Tahoma" w:cs="Tahoma"/>
          <w:sz w:val="20"/>
          <w:szCs w:val="20"/>
        </w:rPr>
        <w:t xml:space="preserve">у Републици Србији </w:t>
      </w:r>
      <w:r w:rsidRPr="0084400E">
        <w:rPr>
          <w:rFonts w:ascii="Tahoma" w:eastAsia="Tahoma" w:hAnsi="Tahoma" w:cs="Tahoma"/>
          <w:b/>
          <w:bCs/>
          <w:sz w:val="20"/>
          <w:szCs w:val="20"/>
        </w:rPr>
        <w:t>изузев следећих 28 локалних самоуправа</w:t>
      </w:r>
      <w:r>
        <w:rPr>
          <w:rFonts w:ascii="Tahoma" w:eastAsia="Tahoma" w:hAnsi="Tahoma" w:cs="Tahoma"/>
          <w:sz w:val="20"/>
          <w:szCs w:val="20"/>
        </w:rPr>
        <w:t xml:space="preserve">: Бачки Петровац, Бечеј, Бела Паланка, Владичин Хан, Врбас, Врање, Врњачка Бања, </w:t>
      </w:r>
      <w:r w:rsidR="55F0C808">
        <w:rPr>
          <w:rFonts w:ascii="Tahoma" w:eastAsia="Tahoma" w:hAnsi="Tahoma" w:cs="Tahoma"/>
          <w:sz w:val="20"/>
          <w:szCs w:val="20"/>
        </w:rPr>
        <w:t>Крагујевац</w:t>
      </w:r>
      <w:r>
        <w:rPr>
          <w:rFonts w:ascii="Tahoma" w:eastAsia="Tahoma" w:hAnsi="Tahoma" w:cs="Tahoma"/>
          <w:sz w:val="20"/>
          <w:szCs w:val="20"/>
        </w:rPr>
        <w:t>, Крушевац, Лајковац, Лесковац, Лозница, Мали Зворник, Медвеђа, Ниш, Нова Варош, Пирот, Пландиште, Пожаревац, Рача, Свилајнац, Сомбор, Сремска Митровица, Суботица, Трговиште, Чачак, Шабац, Ужице</w:t>
      </w:r>
      <w:r>
        <w:rPr>
          <w:rFonts w:ascii="Tahoma" w:eastAsia="Tahoma" w:hAnsi="Tahoma" w:cs="Tahoma"/>
          <w:sz w:val="20"/>
          <w:szCs w:val="20"/>
          <w:vertAlign w:val="superscript"/>
        </w:rPr>
        <w:footnoteReference w:id="2"/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color w:val="FF0000"/>
          <w:sz w:val="20"/>
          <w:szCs w:val="20"/>
        </w:rPr>
        <w:t xml:space="preserve"> </w:t>
      </w:r>
    </w:p>
    <w:p w14:paraId="4C49FA02" w14:textId="77777777" w:rsidR="00D76B7D" w:rsidRDefault="0051741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Заинтересовани градови, општине и градске општине пријаве подносе искључиво самостално и не могу подносити пријаве у партнерству са другим градовима и општинама. </w:t>
      </w:r>
    </w:p>
    <w:p w14:paraId="4C49FA03" w14:textId="636D8E68" w:rsidR="00D76B7D" w:rsidRDefault="00517410">
      <w:pPr>
        <w:spacing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Локалне самоуправе које се пријављују за Пакет подршке унапређење административне ефикасности и делотворности на локалном нивоу могу да се (у складу са правом на учешће у позиву, дефинисаним у одговарајућим Смерницама за подношење пријава) пријаве и за Пакет подршке за унапређење </w:t>
      </w:r>
      <w:r w:rsidR="00345A53">
        <w:rPr>
          <w:rFonts w:ascii="Tahoma" w:eastAsia="Tahoma" w:hAnsi="Tahoma" w:cs="Tahoma"/>
          <w:sz w:val="20"/>
          <w:szCs w:val="20"/>
        </w:rPr>
        <w:t xml:space="preserve">грађанског учешћа и транспарентности </w:t>
      </w:r>
      <w:r>
        <w:rPr>
          <w:rFonts w:ascii="Tahoma" w:eastAsia="Tahoma" w:hAnsi="Tahoma" w:cs="Tahoma"/>
          <w:sz w:val="20"/>
          <w:szCs w:val="20"/>
        </w:rPr>
        <w:t>на локалном нивоу (реф. бр. ПП-0</w:t>
      </w:r>
      <w:r w:rsidR="00345A53">
        <w:rPr>
          <w:rFonts w:ascii="Tahoma" w:eastAsia="Tahoma" w:hAnsi="Tahoma" w:cs="Tahoma"/>
          <w:sz w:val="20"/>
          <w:szCs w:val="20"/>
          <w:lang w:val="sr-Cyrl-RS"/>
        </w:rPr>
        <w:t>2</w:t>
      </w:r>
      <w:r>
        <w:rPr>
          <w:rFonts w:ascii="Tahoma" w:eastAsia="Tahoma" w:hAnsi="Tahoma" w:cs="Tahoma"/>
          <w:sz w:val="20"/>
          <w:szCs w:val="20"/>
        </w:rPr>
        <w:t>/2023) и за Пакет подршке за унапређење</w:t>
      </w:r>
      <w:r w:rsidR="00345A53">
        <w:rPr>
          <w:rFonts w:ascii="Tahoma" w:eastAsia="Tahoma" w:hAnsi="Tahoma" w:cs="Tahoma"/>
          <w:sz w:val="20"/>
          <w:szCs w:val="20"/>
          <w:lang w:val="sr-Cyrl-RS"/>
        </w:rPr>
        <w:t xml:space="preserve"> </w:t>
      </w:r>
      <w:r w:rsidR="00345A53">
        <w:rPr>
          <w:rFonts w:ascii="Tahoma" w:eastAsia="Tahoma" w:hAnsi="Tahoma" w:cs="Tahoma"/>
          <w:sz w:val="20"/>
          <w:szCs w:val="20"/>
        </w:rPr>
        <w:t>одговорности и спречавања корупције</w:t>
      </w:r>
      <w:r>
        <w:rPr>
          <w:rFonts w:ascii="Tahoma" w:eastAsia="Tahoma" w:hAnsi="Tahoma" w:cs="Tahoma"/>
          <w:sz w:val="20"/>
          <w:szCs w:val="20"/>
        </w:rPr>
        <w:t xml:space="preserve"> на локалном нивоу (реф. бр. ПП-0</w:t>
      </w:r>
      <w:r w:rsidR="00345A53">
        <w:rPr>
          <w:rFonts w:ascii="Tahoma" w:eastAsia="Tahoma" w:hAnsi="Tahoma" w:cs="Tahoma"/>
          <w:sz w:val="20"/>
          <w:szCs w:val="20"/>
          <w:lang w:val="sr-Cyrl-RS"/>
        </w:rPr>
        <w:t>3</w:t>
      </w:r>
      <w:r>
        <w:rPr>
          <w:rFonts w:ascii="Tahoma" w:eastAsia="Tahoma" w:hAnsi="Tahoma" w:cs="Tahoma"/>
          <w:sz w:val="20"/>
          <w:szCs w:val="20"/>
        </w:rPr>
        <w:t>/2023)</w:t>
      </w:r>
      <w:r>
        <w:rPr>
          <w:rFonts w:ascii="Tahoma" w:eastAsia="Tahoma" w:hAnsi="Tahoma" w:cs="Tahoma"/>
          <w:sz w:val="20"/>
          <w:szCs w:val="20"/>
          <w:vertAlign w:val="superscript"/>
        </w:rPr>
        <w:footnoteReference w:id="3"/>
      </w:r>
      <w:r>
        <w:rPr>
          <w:rFonts w:ascii="Tahoma" w:eastAsia="Tahoma" w:hAnsi="Tahoma" w:cs="Tahoma"/>
          <w:sz w:val="20"/>
          <w:szCs w:val="20"/>
        </w:rPr>
        <w:t xml:space="preserve">, али </w:t>
      </w:r>
      <w:r>
        <w:rPr>
          <w:rFonts w:ascii="Tahoma" w:eastAsia="Tahoma" w:hAnsi="Tahoma" w:cs="Tahoma"/>
          <w:b/>
          <w:sz w:val="20"/>
          <w:szCs w:val="20"/>
        </w:rPr>
        <w:t>им може бити додељен само један пакет подршке.</w:t>
      </w:r>
    </w:p>
    <w:p w14:paraId="4C49FA04" w14:textId="77777777" w:rsidR="00D76B7D" w:rsidRDefault="005174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line="264" w:lineRule="auto"/>
        <w:ind w:left="851" w:hanging="567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Опис пакета подршке за унапређење административне ефикасности и делотворности на локалном нивоу </w:t>
      </w:r>
    </w:p>
    <w:p w14:paraId="4C49FA05" w14:textId="19671F05" w:rsidR="00D76B7D" w:rsidRDefault="00517410">
      <w:pPr>
        <w:spacing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У оквиру овог позива, кроз пакет подршке за унапређење административне ефикасности и делотворности на локалном нивоу </w:t>
      </w:r>
      <w:r w:rsidR="001A1C90">
        <w:rPr>
          <w:rFonts w:ascii="Tahoma" w:eastAsia="Tahoma" w:hAnsi="Tahoma" w:cs="Tahoma"/>
          <w:sz w:val="20"/>
          <w:szCs w:val="20"/>
          <w:lang w:val="sr-Cyrl-RS"/>
        </w:rPr>
        <w:t>биће</w:t>
      </w:r>
      <w:r>
        <w:rPr>
          <w:rFonts w:ascii="Tahoma" w:eastAsia="Tahoma" w:hAnsi="Tahoma" w:cs="Tahoma"/>
          <w:sz w:val="20"/>
          <w:szCs w:val="20"/>
        </w:rPr>
        <w:t xml:space="preserve"> подржано </w:t>
      </w:r>
      <w:r>
        <w:rPr>
          <w:rFonts w:ascii="Tahoma" w:eastAsia="Tahoma" w:hAnsi="Tahoma" w:cs="Tahoma"/>
          <w:b/>
          <w:sz w:val="20"/>
          <w:szCs w:val="20"/>
        </w:rPr>
        <w:t xml:space="preserve">укупно </w:t>
      </w:r>
      <w:r w:rsidR="00345A53">
        <w:rPr>
          <w:rFonts w:ascii="Tahoma" w:eastAsia="Tahoma" w:hAnsi="Tahoma" w:cs="Tahoma"/>
          <w:b/>
          <w:sz w:val="20"/>
          <w:szCs w:val="20"/>
          <w:lang w:val="sr-Cyrl-RS"/>
        </w:rPr>
        <w:t>пет (</w:t>
      </w:r>
      <w:r>
        <w:rPr>
          <w:rFonts w:ascii="Tahoma" w:eastAsia="Tahoma" w:hAnsi="Tahoma" w:cs="Tahoma"/>
          <w:b/>
          <w:sz w:val="20"/>
          <w:szCs w:val="20"/>
        </w:rPr>
        <w:t>5</w:t>
      </w:r>
      <w:r w:rsidR="00345A53">
        <w:rPr>
          <w:rFonts w:ascii="Tahoma" w:eastAsia="Tahoma" w:hAnsi="Tahoma" w:cs="Tahoma"/>
          <w:b/>
          <w:sz w:val="20"/>
          <w:szCs w:val="20"/>
          <w:lang w:val="sr-Cyrl-RS"/>
        </w:rPr>
        <w:t>)</w:t>
      </w:r>
      <w:r>
        <w:rPr>
          <w:rFonts w:ascii="Tahoma" w:eastAsia="Tahoma" w:hAnsi="Tahoma" w:cs="Tahoma"/>
          <w:b/>
          <w:sz w:val="20"/>
          <w:szCs w:val="20"/>
        </w:rPr>
        <w:t xml:space="preserve"> локалних самоуправа.</w:t>
      </w:r>
    </w:p>
    <w:p w14:paraId="4C49FA06" w14:textId="6E7B31C1" w:rsidR="00D76B7D" w:rsidRDefault="00517410">
      <w:pPr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Индикативни временски оквир за спровођење пакета подршке је </w:t>
      </w:r>
      <w:r w:rsidRPr="00FB1088">
        <w:rPr>
          <w:rFonts w:ascii="Tahoma" w:eastAsia="Tahoma" w:hAnsi="Tahoma" w:cs="Tahoma"/>
          <w:b/>
          <w:bCs/>
          <w:sz w:val="20"/>
          <w:szCs w:val="20"/>
        </w:rPr>
        <w:t xml:space="preserve">јануар 2024. године </w:t>
      </w:r>
      <w:r w:rsidR="00FB1088" w:rsidRPr="00FB1088">
        <w:rPr>
          <w:rFonts w:ascii="Tahoma" w:eastAsia="Tahoma" w:hAnsi="Tahoma" w:cs="Tahoma"/>
          <w:b/>
          <w:bCs/>
          <w:sz w:val="20"/>
          <w:szCs w:val="20"/>
          <w:lang w:val="sr-Cyrl-RS"/>
        </w:rPr>
        <w:t>-</w:t>
      </w:r>
      <w:r w:rsidRPr="00FB1088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="7E1FE15F" w:rsidRPr="00FB1088">
        <w:rPr>
          <w:rFonts w:ascii="Tahoma" w:eastAsia="Tahoma" w:hAnsi="Tahoma" w:cs="Tahoma"/>
          <w:b/>
          <w:bCs/>
          <w:sz w:val="20"/>
          <w:szCs w:val="20"/>
        </w:rPr>
        <w:t>јануар</w:t>
      </w:r>
      <w:r w:rsidRPr="00FB1088">
        <w:rPr>
          <w:rFonts w:ascii="Tahoma" w:eastAsia="Tahoma" w:hAnsi="Tahoma" w:cs="Tahoma"/>
          <w:b/>
          <w:bCs/>
          <w:sz w:val="20"/>
          <w:szCs w:val="20"/>
        </w:rPr>
        <w:t xml:space="preserve"> 2025. године.</w:t>
      </w:r>
    </w:p>
    <w:p w14:paraId="4C49FA07" w14:textId="0DE5145F" w:rsidR="00D76B7D" w:rsidRDefault="00517410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Пакет подршке </w:t>
      </w:r>
      <w:r>
        <w:rPr>
          <w:rFonts w:ascii="Tahoma" w:eastAsia="Tahoma" w:hAnsi="Tahoma" w:cs="Tahoma"/>
          <w:b/>
          <w:sz w:val="20"/>
          <w:szCs w:val="20"/>
        </w:rPr>
        <w:t>подразумева пружање експертске подршке и стручног знања</w:t>
      </w:r>
      <w:r>
        <w:rPr>
          <w:rFonts w:ascii="Tahoma" w:eastAsia="Tahoma" w:hAnsi="Tahoma" w:cs="Tahoma"/>
          <w:sz w:val="20"/>
          <w:szCs w:val="20"/>
        </w:rPr>
        <w:t xml:space="preserve"> у области административне ефикасности и делотворности, у првом реду пописа, праћења и стандардизације административних поступака и процеса, укључујући и вођење евиденција, извештавања и ажурирања, унапређења знања и поступања у складу са Законом о општем управном поступку, Законом о регистру </w:t>
      </w:r>
      <w:r w:rsidR="7BE37F3F" w:rsidRPr="7F9E3183">
        <w:rPr>
          <w:rFonts w:ascii="Tahoma" w:eastAsia="Tahoma" w:hAnsi="Tahoma" w:cs="Tahoma"/>
          <w:sz w:val="20"/>
          <w:szCs w:val="20"/>
        </w:rPr>
        <w:t>админстративних</w:t>
      </w:r>
      <w:r>
        <w:rPr>
          <w:rFonts w:ascii="Tahoma" w:eastAsia="Tahoma" w:hAnsi="Tahoma" w:cs="Tahoma"/>
          <w:sz w:val="20"/>
          <w:szCs w:val="20"/>
        </w:rPr>
        <w:t xml:space="preserve"> поступака, Законом о електронској управи и Уредб</w:t>
      </w:r>
      <w:r w:rsidR="00CD1878">
        <w:rPr>
          <w:rFonts w:ascii="Tahoma" w:eastAsia="Tahoma" w:hAnsi="Tahoma" w:cs="Tahoma"/>
          <w:sz w:val="20"/>
          <w:szCs w:val="20"/>
          <w:lang w:val="sr-Cyrl-RS"/>
        </w:rPr>
        <w:t>ом</w:t>
      </w:r>
      <w:r>
        <w:rPr>
          <w:rFonts w:ascii="Tahoma" w:eastAsia="Tahoma" w:hAnsi="Tahoma" w:cs="Tahoma"/>
          <w:sz w:val="20"/>
          <w:szCs w:val="20"/>
        </w:rPr>
        <w:t xml:space="preserve"> о канцеларијском пословању.  </w:t>
      </w:r>
    </w:p>
    <w:p w14:paraId="4C49FA08" w14:textId="4F180640" w:rsidR="00D76B7D" w:rsidRDefault="00517410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Подршка подразумева развој процедура, прилагођавање и примену модела административних поступака, као и модела одлука, смерница и слично. Такође, експерти ће пружати подршку ради </w:t>
      </w:r>
      <w:r>
        <w:rPr>
          <w:rFonts w:ascii="Tahoma" w:eastAsia="Tahoma" w:hAnsi="Tahoma" w:cs="Tahoma"/>
          <w:sz w:val="20"/>
          <w:szCs w:val="20"/>
        </w:rPr>
        <w:lastRenderedPageBreak/>
        <w:t xml:space="preserve">успостављања </w:t>
      </w:r>
      <w:r w:rsidR="5D6018C7" w:rsidRPr="7F9E3183">
        <w:rPr>
          <w:rFonts w:ascii="Tahoma" w:eastAsia="Tahoma" w:hAnsi="Tahoma" w:cs="Tahoma"/>
          <w:sz w:val="20"/>
          <w:szCs w:val="20"/>
        </w:rPr>
        <w:t>јединствених</w:t>
      </w:r>
      <w:r>
        <w:rPr>
          <w:rFonts w:ascii="Tahoma" w:eastAsia="Tahoma" w:hAnsi="Tahoma" w:cs="Tahoma"/>
          <w:sz w:val="20"/>
          <w:szCs w:val="20"/>
        </w:rPr>
        <w:t xml:space="preserve"> управних места, у форми обука, менторског рада и друге видове саветодавне подршке.</w:t>
      </w:r>
    </w:p>
    <w:p w14:paraId="4C49FA09" w14:textId="77777777" w:rsidR="00D76B7D" w:rsidRDefault="00517410">
      <w:pPr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Кроз пакет подршке се не обезбеђује било какав вид финансијске подршке.</w:t>
      </w:r>
    </w:p>
    <w:p w14:paraId="4C49FA0A" w14:textId="097AD9FC" w:rsidR="00D76B7D" w:rsidRDefault="00517410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За реализацију пакета подршке опредељено је </w:t>
      </w:r>
      <w:r>
        <w:rPr>
          <w:rFonts w:ascii="Tahoma" w:eastAsia="Tahoma" w:hAnsi="Tahoma" w:cs="Tahoma"/>
          <w:b/>
          <w:sz w:val="20"/>
          <w:szCs w:val="20"/>
        </w:rPr>
        <w:t xml:space="preserve">од 40 до 50 </w:t>
      </w:r>
      <w:r w:rsidR="240F6A50" w:rsidRPr="7F9E3183">
        <w:rPr>
          <w:rFonts w:ascii="Tahoma" w:eastAsia="Tahoma" w:hAnsi="Tahoma" w:cs="Tahoma"/>
          <w:b/>
          <w:bCs/>
          <w:sz w:val="20"/>
          <w:szCs w:val="20"/>
        </w:rPr>
        <w:t>експертских</w:t>
      </w:r>
      <w:r>
        <w:rPr>
          <w:rFonts w:ascii="Tahoma" w:eastAsia="Tahoma" w:hAnsi="Tahoma" w:cs="Tahoma"/>
          <w:b/>
          <w:sz w:val="20"/>
          <w:szCs w:val="20"/>
        </w:rPr>
        <w:t xml:space="preserve"> дана </w:t>
      </w:r>
      <w:r>
        <w:rPr>
          <w:rFonts w:ascii="Tahoma" w:eastAsia="Tahoma" w:hAnsi="Tahoma" w:cs="Tahoma"/>
          <w:sz w:val="20"/>
          <w:szCs w:val="20"/>
        </w:rPr>
        <w:t xml:space="preserve">за сваку од одабраних локалних самоуправа у зависности од конкретне процене обима потреба за стручном подршком. </w:t>
      </w:r>
    </w:p>
    <w:p w14:paraId="4C49FA0B" w14:textId="69C2203D" w:rsidR="00D76B7D" w:rsidRDefault="00517410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  <w:bookmarkStart w:id="1" w:name="_heading=h.30j0zll" w:colFirst="0" w:colLast="0"/>
      <w:bookmarkEnd w:id="1"/>
      <w:r>
        <w:rPr>
          <w:rFonts w:ascii="Tahoma" w:eastAsia="Tahoma" w:hAnsi="Tahoma" w:cs="Tahoma"/>
          <w:sz w:val="20"/>
          <w:szCs w:val="20"/>
        </w:rPr>
        <w:t xml:space="preserve">СКГО са сваком изабраном ЛС потписује Меморандум о сарадњи, којим се дефинишу сви релевантни елементи сарадње, укључујући области и обим експертске помоћи, период реализације и слично. </w:t>
      </w:r>
    </w:p>
    <w:p w14:paraId="4C49FA0C" w14:textId="77777777" w:rsidR="00D76B7D" w:rsidRDefault="00517410">
      <w:pPr>
        <w:numPr>
          <w:ilvl w:val="1"/>
          <w:numId w:val="5"/>
        </w:numPr>
        <w:spacing w:line="264" w:lineRule="auto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Структура пакета подршке</w:t>
      </w:r>
    </w:p>
    <w:p w14:paraId="4C49FA0D" w14:textId="7A4721BF" w:rsidR="00D76B7D" w:rsidRDefault="00517410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Пакет подршке </w:t>
      </w:r>
      <w:r>
        <w:rPr>
          <w:rFonts w:ascii="Tahoma" w:eastAsia="Tahoma" w:hAnsi="Tahoma" w:cs="Tahoma"/>
          <w:sz w:val="20"/>
          <w:szCs w:val="20"/>
        </w:rPr>
        <w:t xml:space="preserve">састоји се из четири </w:t>
      </w:r>
      <w:r w:rsidR="00E12AA3">
        <w:rPr>
          <w:rFonts w:ascii="Tahoma" w:eastAsia="Tahoma" w:hAnsi="Tahoma" w:cs="Tahoma"/>
          <w:sz w:val="20"/>
          <w:szCs w:val="20"/>
          <w:lang w:val="sr-Cyrl-RS"/>
        </w:rPr>
        <w:t xml:space="preserve">(4) </w:t>
      </w:r>
      <w:r>
        <w:rPr>
          <w:rFonts w:ascii="Tahoma" w:eastAsia="Tahoma" w:hAnsi="Tahoma" w:cs="Tahoma"/>
          <w:sz w:val="20"/>
          <w:szCs w:val="20"/>
        </w:rPr>
        <w:t>области које ће се спроводити у свакој локалној самоуправи којој је одобрена реализација пакета подршке, с тим што ће се обим експертске подршке прилагодити околностима, потребама и капацитетима свак</w:t>
      </w:r>
      <w:sdt>
        <w:sdtPr>
          <w:tag w:val="goog_rdk_2"/>
          <w:id w:val="701675849"/>
        </w:sdtPr>
        <w:sdtEndPr/>
        <w:sdtContent>
          <w:r>
            <w:rPr>
              <w:rFonts w:ascii="Tahoma" w:eastAsia="Tahoma" w:hAnsi="Tahoma" w:cs="Tahoma"/>
              <w:sz w:val="20"/>
              <w:szCs w:val="20"/>
            </w:rPr>
            <w:t>е</w:t>
          </w:r>
        </w:sdtContent>
      </w:sdt>
      <w:r>
        <w:rPr>
          <w:rFonts w:ascii="Tahoma" w:eastAsia="Tahoma" w:hAnsi="Tahoma" w:cs="Tahoma"/>
          <w:sz w:val="20"/>
          <w:szCs w:val="20"/>
        </w:rPr>
        <w:t xml:space="preserve"> појединачне локалне самоуправе. </w:t>
      </w:r>
    </w:p>
    <w:p w14:paraId="4C49FA0E" w14:textId="4C905CC5" w:rsidR="00D76B7D" w:rsidRDefault="00517410">
      <w:pPr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Пакет подршке обухвата следећих четири</w:t>
      </w:r>
      <w:r w:rsidR="00A141B1">
        <w:rPr>
          <w:rFonts w:ascii="Tahoma" w:eastAsia="Tahoma" w:hAnsi="Tahoma" w:cs="Tahoma"/>
          <w:b/>
          <w:sz w:val="20"/>
          <w:szCs w:val="20"/>
          <w:lang w:val="sr-Cyrl-RS"/>
        </w:rPr>
        <w:t xml:space="preserve"> (4)</w:t>
      </w:r>
      <w:r>
        <w:rPr>
          <w:rFonts w:ascii="Tahoma" w:eastAsia="Tahoma" w:hAnsi="Tahoma" w:cs="Tahoma"/>
          <w:b/>
          <w:sz w:val="20"/>
          <w:szCs w:val="20"/>
        </w:rPr>
        <w:t xml:space="preserve"> области интервенције:</w:t>
      </w:r>
    </w:p>
    <w:p w14:paraId="4C49FA0F" w14:textId="77777777" w:rsidR="00D76B7D" w:rsidRDefault="005174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ИЗРАДА ПОЧЕТНЕ ПРОЦЕНЕ КАПАЦИТЕТА И ПРОЦЕСА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унутар локалне самоуправе, кроз структурирану листу питања и разговоре са руководиоцима у општини, граду или градској општини, као и резултата добијених на основу попуњеног СКГО Индекса добре управе на локалном нивоу у области административне ефикасности и делотворности. Почетна процена капацитета и процеса ће представљати полазну основу за израду препорука за унапређење и детаљног акционог плана реализације пакета подршке, који ће бити формулисани у договору са локалном самоуправом.</w:t>
      </w:r>
    </w:p>
    <w:p w14:paraId="4C49FA10" w14:textId="78F9C5CE" w:rsidR="00D76B7D" w:rsidRDefault="005174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УНАПРЕЂЕЊЕ ЕФИКАСНОСТИ И ДЕЛОТВОРНОСТИ СТАНДАРДИЗАЦИЈОМ АДМИНИСТРАТИВНИХ ПОСТУПАКА И ПРОЦЕСА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кроз: прилагођавање административног поступања у складу са моделима административних поступака и захтевима прописаним Законом о регистру административних поступака; оптимизацију радних процеса; унапређење вођења евиденција; праћење рокова у поступању, укључујући и нове институте Закона о општем управном поступку (приговор, одговор на жалбу и слично); подршка увођењу и вођењу електронске базе/листе поступака и канцеларијског поступања; унапређење транспарентности и информисаности странака и грађана у односу на административне поступке који се спроводе у локалној самоуправи; унапређење знања и рада запослених у инфо центру/услужном центру и слично. </w:t>
      </w:r>
    </w:p>
    <w:p w14:paraId="4C49FA11" w14:textId="2A882695" w:rsidR="00D76B7D" w:rsidRDefault="005174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714" w:hanging="357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7F9E3183">
        <w:rPr>
          <w:rFonts w:ascii="Tahoma" w:eastAsia="Tahoma" w:hAnsi="Tahoma" w:cs="Tahoma"/>
          <w:b/>
          <w:color w:val="000000" w:themeColor="text1"/>
          <w:sz w:val="20"/>
          <w:szCs w:val="20"/>
        </w:rPr>
        <w:t>УНАПРЕЂЕЊЕ ЗНАЊА И ПОДРШК</w:t>
      </w:r>
      <w:r w:rsidR="007464BE">
        <w:rPr>
          <w:rFonts w:ascii="Tahoma" w:eastAsia="Tahoma" w:hAnsi="Tahoma" w:cs="Tahoma"/>
          <w:b/>
          <w:color w:val="000000" w:themeColor="text1"/>
          <w:sz w:val="20"/>
          <w:szCs w:val="20"/>
          <w:lang w:val="sr-Cyrl-RS"/>
        </w:rPr>
        <w:t>А</w:t>
      </w:r>
      <w:r w:rsidRPr="7F9E3183">
        <w:rPr>
          <w:rFonts w:ascii="Tahoma" w:eastAsia="Tahoma" w:hAnsi="Tahoma" w:cs="Tahoma"/>
          <w:b/>
          <w:color w:val="000000" w:themeColor="text1"/>
          <w:sz w:val="20"/>
          <w:szCs w:val="20"/>
        </w:rPr>
        <w:t xml:space="preserve"> ОРГАНИЗАЦИОНОМ РАЗВОЈУ РАДИ ПУНЕ ПРИМЕНЕ ЗАКОНА О ОПШТЕМ УПРАВНОМ ПОСТУПКУ, ЗАКОНА О ЕЛЕКТРОНСКОЈ УПРАВИ, </w:t>
      </w:r>
      <w:r w:rsidR="007655E2" w:rsidRPr="7F9E3183">
        <w:rPr>
          <w:rFonts w:ascii="Tahoma" w:eastAsia="Tahoma" w:hAnsi="Tahoma" w:cs="Tahoma"/>
          <w:b/>
          <w:color w:val="000000" w:themeColor="text1"/>
          <w:sz w:val="20"/>
          <w:szCs w:val="20"/>
        </w:rPr>
        <w:t>УРЕДБЕ О КАНЦЕЛАРИЈСКОМ ПОСЛОВАЊУ</w:t>
      </w:r>
      <w:r w:rsidRPr="7F9E3183">
        <w:rPr>
          <w:rFonts w:ascii="Tahoma" w:eastAsia="Tahoma" w:hAnsi="Tahoma" w:cs="Tahoma"/>
          <w:b/>
          <w:color w:val="000000" w:themeColor="text1"/>
          <w:sz w:val="20"/>
          <w:szCs w:val="20"/>
        </w:rPr>
        <w:t xml:space="preserve"> и ЗАКОНА О РЕГИСТРУ АДМИНИСТРАТИВНИХ ПОСТУПАКА</w:t>
      </w:r>
      <w:r w:rsidRPr="7F9E3183">
        <w:rPr>
          <w:rFonts w:ascii="Tahoma" w:eastAsia="Tahoma" w:hAnsi="Tahoma" w:cs="Tahoma"/>
          <w:color w:val="000000" w:themeColor="text1"/>
          <w:sz w:val="20"/>
          <w:szCs w:val="20"/>
        </w:rPr>
        <w:t xml:space="preserve">, који обухвата обуке у вези </w:t>
      </w:r>
      <w:sdt>
        <w:sdtPr>
          <w:tag w:val="goog_rdk_4"/>
          <w:id w:val="-1989000468"/>
          <w:placeholder>
            <w:docPart w:val="8781C8D48F9E416D98C772EFD09ED065"/>
          </w:placeholder>
        </w:sdtPr>
        <w:sdtEndPr/>
        <w:sdtContent>
          <w:r w:rsidRPr="7F9E3183">
            <w:rPr>
              <w:rFonts w:ascii="Tahoma" w:eastAsia="Tahoma" w:hAnsi="Tahoma" w:cs="Tahoma"/>
              <w:color w:val="000000" w:themeColor="text1"/>
              <w:sz w:val="20"/>
              <w:szCs w:val="20"/>
            </w:rPr>
            <w:t xml:space="preserve">са </w:t>
          </w:r>
        </w:sdtContent>
      </w:sdt>
      <w:r w:rsidR="1B5B4608" w:rsidRPr="7F9E3183">
        <w:rPr>
          <w:rFonts w:ascii="Tahoma" w:eastAsia="Tahoma" w:hAnsi="Tahoma" w:cs="Tahoma"/>
          <w:color w:val="000000" w:themeColor="text1"/>
          <w:sz w:val="20"/>
          <w:szCs w:val="20"/>
        </w:rPr>
        <w:t>новим законским</w:t>
      </w:r>
      <w:sdt>
        <w:sdtPr>
          <w:tag w:val="goog_rdk_5"/>
          <w:id w:val="-1462804280"/>
          <w:placeholder>
            <w:docPart w:val="1C8D5551C36F499EB140060E30326E7D"/>
          </w:placeholder>
        </w:sdtPr>
        <w:sdtEndPr/>
        <w:sdtContent/>
      </w:sdt>
      <w:sdt>
        <w:sdtPr>
          <w:tag w:val="goog_rdk_8"/>
          <w:id w:val="-1447069283"/>
          <w:placeholder>
            <w:docPart w:val="1C8D5551C36F499EB140060E30326E7D"/>
          </w:placeholder>
        </w:sdtPr>
        <w:sdtEndPr/>
        <w:sdtContent>
          <w:r w:rsidR="1A97765A">
            <w:t xml:space="preserve"> </w:t>
          </w:r>
        </w:sdtContent>
      </w:sdt>
      <w:r>
        <w:t>оквир</w:t>
      </w:r>
      <w:sdt>
        <w:sdtPr>
          <w:tag w:val="goog_rdk_9"/>
          <w:id w:val="-435366470"/>
          <w:placeholder>
            <w:docPart w:val="8781C8D48F9E416D98C772EFD09ED065"/>
          </w:placeholder>
        </w:sdtPr>
        <w:sdtEndPr/>
        <w:sdtContent>
          <w:r w:rsidRPr="7F9E3183">
            <w:rPr>
              <w:rFonts w:ascii="Tahoma" w:eastAsia="Tahoma" w:hAnsi="Tahoma" w:cs="Tahoma"/>
              <w:color w:val="000000" w:themeColor="text1"/>
              <w:sz w:val="20"/>
              <w:szCs w:val="20"/>
            </w:rPr>
            <w:t>ом</w:t>
          </w:r>
        </w:sdtContent>
      </w:sdt>
      <w:r>
        <w:t xml:space="preserve">, подршку </w:t>
      </w:r>
      <w:r w:rsidR="6802654A" w:rsidRPr="7F9E3183">
        <w:rPr>
          <w:rFonts w:ascii="Tahoma" w:eastAsia="Tahoma" w:hAnsi="Tahoma" w:cs="Tahoma"/>
          <w:color w:val="000000" w:themeColor="text1"/>
          <w:sz w:val="20"/>
          <w:szCs w:val="20"/>
        </w:rPr>
        <w:t>организационим</w:t>
      </w:r>
      <w:r w:rsidRPr="7F9E3183">
        <w:rPr>
          <w:rFonts w:ascii="Tahoma" w:eastAsia="Tahoma" w:hAnsi="Tahoma" w:cs="Tahoma"/>
          <w:color w:val="000000" w:themeColor="text1"/>
          <w:sz w:val="20"/>
          <w:szCs w:val="20"/>
        </w:rPr>
        <w:t xml:space="preserve"> променама потребним за спровођење закона, укључујући и унапређење интерне и екстерне комуникације запослених. </w:t>
      </w:r>
    </w:p>
    <w:p w14:paraId="4C49FA12" w14:textId="21E0477E" w:rsidR="00D76B7D" w:rsidRDefault="005174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714" w:hanging="357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7F9E3183">
        <w:rPr>
          <w:rFonts w:ascii="Tahoma" w:eastAsia="Tahoma" w:hAnsi="Tahoma" w:cs="Tahoma"/>
          <w:b/>
          <w:color w:val="000000" w:themeColor="text1"/>
          <w:sz w:val="20"/>
          <w:szCs w:val="20"/>
        </w:rPr>
        <w:t>ПОДРШКА ОРГАНИЗАЦИОНОМ РАЗВОЈУ ЗА УСПОСТАВЉАЊЕ/УНАПРЕЂЕЊЕ ЈЕДИНСТВЕНОГ УПРАВНОГ МЕСТА (ЈУМ)</w:t>
      </w:r>
      <w:r w:rsidRPr="7F9E3183">
        <w:rPr>
          <w:rFonts w:ascii="Tahoma" w:eastAsia="Tahoma" w:hAnsi="Tahoma" w:cs="Tahoma"/>
          <w:color w:val="000000" w:themeColor="text1"/>
          <w:sz w:val="20"/>
          <w:szCs w:val="20"/>
        </w:rPr>
        <w:t xml:space="preserve">, кроз индентификацију могућих поступака и органа чије поступање би могло да се обухвати организовањем јединственог управног </w:t>
      </w:r>
      <w:r w:rsidRPr="7F9E3183">
        <w:rPr>
          <w:rFonts w:ascii="Tahoma" w:eastAsia="Tahoma" w:hAnsi="Tahoma" w:cs="Tahoma"/>
          <w:color w:val="000000" w:themeColor="text1"/>
          <w:sz w:val="20"/>
          <w:szCs w:val="20"/>
        </w:rPr>
        <w:lastRenderedPageBreak/>
        <w:t xml:space="preserve">места у оквиру локалне самоуправе, укључујући и предлог одлуке о успостављању ЈУМ-а, предлог споразума о сарадњи и процедура за комуникацију и размену података/документације са другим органима, као и организовање обуке и пружање других видова саветодавне подршке за успостављање ЈУМ-а, укључујући и </w:t>
      </w:r>
      <w:r w:rsidR="485B7364" w:rsidRPr="7F9E3183">
        <w:rPr>
          <w:rFonts w:ascii="Tahoma" w:eastAsia="Tahoma" w:hAnsi="Tahoma" w:cs="Tahoma"/>
          <w:color w:val="000000" w:themeColor="text1"/>
          <w:sz w:val="20"/>
          <w:szCs w:val="20"/>
        </w:rPr>
        <w:t>прилагођавање</w:t>
      </w:r>
      <w:r w:rsidRPr="7F9E3183">
        <w:rPr>
          <w:rFonts w:ascii="Tahoma" w:eastAsia="Tahoma" w:hAnsi="Tahoma" w:cs="Tahoma"/>
          <w:color w:val="000000" w:themeColor="text1"/>
          <w:sz w:val="20"/>
          <w:szCs w:val="20"/>
        </w:rPr>
        <w:t xml:space="preserve"> процедура тестираним моделима. </w:t>
      </w:r>
    </w:p>
    <w:p w14:paraId="4C49FA13" w14:textId="77777777" w:rsidR="00D76B7D" w:rsidRDefault="00517410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Пријава за пакет подршке подразумева спремност да се ради на унапређењу сва четири сегмената пакета, 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па селекција тема, односно области у овом случају није могућа. </w:t>
      </w:r>
    </w:p>
    <w:p w14:paraId="4C49FA14" w14:textId="77777777" w:rsidR="00D76B7D" w:rsidRDefault="0051741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Критеријуми описани у пријави оцениће спремност да се реализују пакети као и капацитет да се промене у овим областима учине одрживим.      </w:t>
      </w:r>
    </w:p>
    <w:p w14:paraId="4C49FA15" w14:textId="77777777" w:rsidR="00D76B7D" w:rsidRDefault="00517410">
      <w:pPr>
        <w:ind w:right="-4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Истовремено, процењени дани за пружање експертске помоћи представљају оквирни број, који је подложан променама у складу са потребама и обимом задатака/послова које обављају експерти у свакој појединачној јединици локалне самоуправе. </w:t>
      </w:r>
    </w:p>
    <w:p w14:paraId="4C49FA16" w14:textId="77777777" w:rsidR="00D76B7D" w:rsidRDefault="005174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НАЧИН ПОДНОШЕЊА ПРИЈАВА ЗА ДОДЕЛУ ПАКЕТА ПОДРШКЕ</w:t>
      </w:r>
    </w:p>
    <w:p w14:paraId="4C49FA17" w14:textId="77777777" w:rsidR="00D76B7D" w:rsidRDefault="00517410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Документацију за подношење пријава за доделу пакета подршке чине:</w:t>
      </w:r>
    </w:p>
    <w:p w14:paraId="4C49FA18" w14:textId="77777777" w:rsidR="00D76B7D" w:rsidRDefault="005174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Tahoma" w:eastAsia="Tahoma" w:hAnsi="Tahoma" w:cs="Tahoma"/>
          <w:i/>
          <w:color w:val="000000"/>
          <w:sz w:val="20"/>
          <w:szCs w:val="20"/>
          <w:u w:val="single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Пријавни формулар за пакет подршке </w:t>
      </w:r>
      <w:r>
        <w:rPr>
          <w:rFonts w:ascii="Tahoma" w:eastAsia="Tahoma" w:hAnsi="Tahoma" w:cs="Tahoma"/>
          <w:color w:val="000000"/>
          <w:sz w:val="20"/>
          <w:szCs w:val="20"/>
        </w:rPr>
        <w:t>(попуњен, потписан и печатиран од стране градоначелника/председника општине/председника привременог органа и начелника управе на прописаном обрасцу).</w:t>
      </w:r>
    </w:p>
    <w:p w14:paraId="4C49FA19" w14:textId="1BFF66A9" w:rsidR="00D76B7D" w:rsidRDefault="005174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02" w:hanging="357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Изјава о избору пакета подршке и редоследу приоритета за доделу пакета подршке </w:t>
      </w:r>
      <w:r>
        <w:rPr>
          <w:rFonts w:ascii="Tahoma" w:eastAsia="Tahoma" w:hAnsi="Tahoma" w:cs="Tahoma"/>
          <w:color w:val="000000"/>
          <w:sz w:val="20"/>
          <w:szCs w:val="20"/>
        </w:rPr>
        <w:t>(потписана и печатирана од стране градоначелника/председника општине/председника привременог органа на меморандуму града</w:t>
      </w:r>
      <w:r w:rsidR="00A141B1">
        <w:rPr>
          <w:rFonts w:ascii="Tahoma" w:eastAsia="Tahoma" w:hAnsi="Tahoma" w:cs="Tahoma"/>
          <w:color w:val="000000"/>
          <w:sz w:val="20"/>
          <w:szCs w:val="20"/>
          <w:lang w:val="sr-Latn-RS"/>
        </w:rPr>
        <w:t>/</w:t>
      </w:r>
      <w:r>
        <w:rPr>
          <w:rFonts w:ascii="Tahoma" w:eastAsia="Tahoma" w:hAnsi="Tahoma" w:cs="Tahoma"/>
          <w:color w:val="000000"/>
          <w:sz w:val="20"/>
          <w:szCs w:val="20"/>
        </w:rPr>
        <w:t>општине</w:t>
      </w:r>
      <w:r w:rsidR="00A141B1">
        <w:rPr>
          <w:rFonts w:ascii="Tahoma" w:eastAsia="Tahoma" w:hAnsi="Tahoma" w:cs="Tahoma"/>
          <w:color w:val="000000"/>
          <w:sz w:val="20"/>
          <w:szCs w:val="20"/>
          <w:lang w:val="sr-Latn-RS"/>
        </w:rPr>
        <w:t>/</w:t>
      </w:r>
      <w:r w:rsidR="00A141B1">
        <w:rPr>
          <w:rFonts w:ascii="Tahoma" w:eastAsia="Tahoma" w:hAnsi="Tahoma" w:cs="Tahoma"/>
          <w:color w:val="000000"/>
          <w:sz w:val="20"/>
          <w:szCs w:val="20"/>
          <w:lang w:val="sr-Cyrl-RS"/>
        </w:rPr>
        <w:t>градске општине</w:t>
      </w:r>
      <w:r>
        <w:rPr>
          <w:rFonts w:ascii="Tahoma" w:eastAsia="Tahoma" w:hAnsi="Tahoma" w:cs="Tahoma"/>
          <w:color w:val="000000"/>
          <w:sz w:val="20"/>
          <w:szCs w:val="20"/>
        </w:rPr>
        <w:t>).</w:t>
      </w:r>
    </w:p>
    <w:p w14:paraId="4C49FA1A" w14:textId="6C9944F0" w:rsidR="00D76B7D" w:rsidRPr="00294491" w:rsidRDefault="00517410">
      <w:pPr>
        <w:spacing w:before="120"/>
        <w:jc w:val="both"/>
        <w:rPr>
          <w:rFonts w:ascii="Tahoma" w:eastAsia="Tahoma" w:hAnsi="Tahoma" w:cs="Tahoma"/>
          <w:sz w:val="20"/>
          <w:szCs w:val="20"/>
          <w:lang w:val="sr-Latn-RS"/>
        </w:rPr>
      </w:pPr>
      <w:r>
        <w:rPr>
          <w:rFonts w:ascii="Tahoma" w:eastAsia="Tahoma" w:hAnsi="Tahoma" w:cs="Tahoma"/>
          <w:sz w:val="20"/>
          <w:szCs w:val="20"/>
        </w:rPr>
        <w:t>Наведени обрасци (Пријавни формулар за пакет подршке и Изјава о избору пакета подршке и редоследу приоритета за доделу пакета подршке) се могу преузети са интернет презентације СКГО на следећем линку:</w:t>
      </w:r>
      <w:r>
        <w:rPr>
          <w:rFonts w:ascii="Tahoma" w:eastAsia="Tahoma" w:hAnsi="Tahoma" w:cs="Tahoma"/>
        </w:rPr>
        <w:t xml:space="preserve"> </w:t>
      </w:r>
      <w:sdt>
        <w:sdtPr>
          <w:tag w:val="goog_rdk_11"/>
          <w:id w:val="1193815155"/>
        </w:sdtPr>
        <w:sdtEndPr/>
        <w:sdtContent/>
      </w:sdt>
      <w:hyperlink r:id="rId8" w:history="1">
        <w:r w:rsidR="00294491" w:rsidRPr="003E59D0">
          <w:rPr>
            <w:rStyle w:val="Hyperlink"/>
            <w:rFonts w:ascii="Tahoma" w:hAnsi="Tahoma" w:cs="Tahoma"/>
            <w:sz w:val="20"/>
            <w:szCs w:val="20"/>
          </w:rPr>
          <w:t>http://skgo.org/konkursi/detaljno/361/javni-poziv-za-dodelu-paketa-podrske-lokalnim-samoupravama-za-unapredjenje-principa-dobrog-upravljanja-na-lokalnom-nivou</w:t>
        </w:r>
      </w:hyperlink>
      <w:r w:rsidR="00294491">
        <w:rPr>
          <w:rFonts w:ascii="Tahoma" w:hAnsi="Tahoma" w:cs="Tahoma"/>
          <w:sz w:val="20"/>
          <w:szCs w:val="20"/>
          <w:lang w:val="sr-Latn-RS"/>
        </w:rPr>
        <w:t>.</w:t>
      </w:r>
    </w:p>
    <w:p w14:paraId="4C49FA1B" w14:textId="65D56903" w:rsidR="00D76B7D" w:rsidRDefault="0051741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Документацију за подношење пријава (попуњену и потписану) потребно је доставити у папирном облику у </w:t>
      </w:r>
      <w:r w:rsidR="00A141B1">
        <w:rPr>
          <w:rFonts w:ascii="Tahoma" w:eastAsia="Tahoma" w:hAnsi="Tahoma" w:cs="Tahoma"/>
          <w:sz w:val="20"/>
          <w:szCs w:val="20"/>
          <w:lang w:val="sr-Cyrl-RS"/>
        </w:rPr>
        <w:t>три (</w:t>
      </w:r>
      <w:r>
        <w:rPr>
          <w:rFonts w:ascii="Tahoma" w:eastAsia="Tahoma" w:hAnsi="Tahoma" w:cs="Tahoma"/>
          <w:sz w:val="20"/>
          <w:szCs w:val="20"/>
        </w:rPr>
        <w:t>3</w:t>
      </w:r>
      <w:r w:rsidR="00A141B1">
        <w:rPr>
          <w:rFonts w:ascii="Tahoma" w:eastAsia="Tahoma" w:hAnsi="Tahoma" w:cs="Tahoma"/>
          <w:sz w:val="20"/>
          <w:szCs w:val="20"/>
          <w:lang w:val="sr-Cyrl-RS"/>
        </w:rPr>
        <w:t>)</w:t>
      </w:r>
      <w:r>
        <w:rPr>
          <w:rFonts w:ascii="Tahoma" w:eastAsia="Tahoma" w:hAnsi="Tahoma" w:cs="Tahoma"/>
          <w:sz w:val="20"/>
          <w:szCs w:val="20"/>
        </w:rPr>
        <w:t xml:space="preserve"> примерка (један оригинал и две копије) у А4 формату у запечаћеној коверти са јасном назнаком: “</w:t>
      </w:r>
      <w:r>
        <w:rPr>
          <w:rFonts w:ascii="Tahoma" w:eastAsia="Tahoma" w:hAnsi="Tahoma" w:cs="Tahoma"/>
          <w:sz w:val="20"/>
          <w:szCs w:val="20"/>
          <w:u w:val="single"/>
        </w:rPr>
        <w:t>Пријава за пакет подршке за унапређење административне ефикасности и делотворности на локалном нивоу</w:t>
      </w:r>
      <w:r>
        <w:rPr>
          <w:rFonts w:ascii="Tahoma" w:eastAsia="Tahoma" w:hAnsi="Tahoma" w:cs="Tahoma"/>
          <w:sz w:val="20"/>
          <w:szCs w:val="20"/>
        </w:rPr>
        <w:t xml:space="preserve">”. </w:t>
      </w:r>
    </w:p>
    <w:p w14:paraId="4C49FA1C" w14:textId="77777777" w:rsidR="00D76B7D" w:rsidRDefault="00517410">
      <w:pPr>
        <w:spacing w:after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Пријаве се достављају препорученом поштом, курирском службом или лично на следећу адресу: </w:t>
      </w:r>
    </w:p>
    <w:p w14:paraId="4C49FA1D" w14:textId="77777777" w:rsidR="00D76B7D" w:rsidRDefault="00517410">
      <w:pPr>
        <w:spacing w:after="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Анита Ратковић</w:t>
      </w:r>
    </w:p>
    <w:p w14:paraId="4C49FA1E" w14:textId="77777777" w:rsidR="00D76B7D" w:rsidRDefault="00517410">
      <w:pPr>
        <w:spacing w:after="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Стална конференција градова и општина – Савез градова и општина Србије</w:t>
      </w:r>
    </w:p>
    <w:p w14:paraId="4C49FA1F" w14:textId="77777777" w:rsidR="00D76B7D" w:rsidRDefault="00517410">
      <w:pPr>
        <w:spacing w:after="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Македонска 22/VIII</w:t>
      </w:r>
    </w:p>
    <w:p w14:paraId="4C49FA20" w14:textId="77777777" w:rsidR="00D76B7D" w:rsidRDefault="0051741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11 000 Београд</w:t>
      </w:r>
    </w:p>
    <w:p w14:paraId="4C49FA21" w14:textId="77777777" w:rsidR="00D76B7D" w:rsidRDefault="00517410">
      <w:pPr>
        <w:spacing w:before="12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Пријаве послате на било који други начин биће аутоматски одбачене.</w:t>
      </w:r>
    </w:p>
    <w:p w14:paraId="4C49FA22" w14:textId="1340DDD6" w:rsidR="00D76B7D" w:rsidRDefault="00517410">
      <w:pPr>
        <w:spacing w:before="120"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Крајњи рок за достављање пријава је </w:t>
      </w:r>
      <w:r w:rsidR="00097AF9">
        <w:rPr>
          <w:rFonts w:ascii="Tahoma" w:eastAsia="Tahoma" w:hAnsi="Tahoma" w:cs="Tahoma"/>
          <w:b/>
          <w:sz w:val="20"/>
          <w:szCs w:val="20"/>
          <w:lang w:val="en-US"/>
        </w:rPr>
        <w:t>22</w:t>
      </w:r>
      <w:r w:rsidRPr="00551CCB">
        <w:rPr>
          <w:rFonts w:ascii="Tahoma" w:eastAsia="Tahoma" w:hAnsi="Tahoma" w:cs="Tahoma"/>
          <w:b/>
          <w:sz w:val="20"/>
          <w:szCs w:val="20"/>
        </w:rPr>
        <w:t xml:space="preserve">. </w:t>
      </w:r>
      <w:r w:rsidR="00097AF9">
        <w:rPr>
          <w:rFonts w:ascii="Tahoma" w:eastAsia="Tahoma" w:hAnsi="Tahoma" w:cs="Tahoma"/>
          <w:b/>
          <w:sz w:val="20"/>
          <w:szCs w:val="20"/>
          <w:lang w:val="sr-Cyrl-RS"/>
        </w:rPr>
        <w:t>јануар</w:t>
      </w:r>
      <w:r w:rsidRPr="00551CCB">
        <w:rPr>
          <w:rFonts w:ascii="Tahoma" w:eastAsia="Tahoma" w:hAnsi="Tahoma" w:cs="Tahoma"/>
          <w:b/>
          <w:sz w:val="20"/>
          <w:szCs w:val="20"/>
        </w:rPr>
        <w:t xml:space="preserve"> 202</w:t>
      </w:r>
      <w:r w:rsidR="00097AF9">
        <w:rPr>
          <w:rFonts w:ascii="Tahoma" w:eastAsia="Tahoma" w:hAnsi="Tahoma" w:cs="Tahoma"/>
          <w:b/>
          <w:sz w:val="20"/>
          <w:szCs w:val="20"/>
          <w:lang w:val="sr-Cyrl-RS"/>
        </w:rPr>
        <w:t>4</w:t>
      </w:r>
      <w:r w:rsidRPr="00551CCB">
        <w:rPr>
          <w:rFonts w:ascii="Tahoma" w:eastAsia="Tahoma" w:hAnsi="Tahoma" w:cs="Tahoma"/>
          <w:b/>
          <w:sz w:val="20"/>
          <w:szCs w:val="20"/>
        </w:rPr>
        <w:t>. године до 16 часова.</w:t>
      </w:r>
    </w:p>
    <w:p w14:paraId="4C49FA23" w14:textId="77777777" w:rsidR="00D76B7D" w:rsidRDefault="00517410">
      <w:pPr>
        <w:spacing w:before="120"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Пријаве се подносе на српском језику.</w:t>
      </w:r>
    </w:p>
    <w:p w14:paraId="4C49FA24" w14:textId="77777777" w:rsidR="00D76B7D" w:rsidRDefault="00517410">
      <w:pPr>
        <w:spacing w:before="120" w:after="24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>Неблаговремене и непотпуне пријаве неће се узети у разматрање.</w:t>
      </w:r>
    </w:p>
    <w:p w14:paraId="4C49FA25" w14:textId="77777777" w:rsidR="00D76B7D" w:rsidRDefault="005174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УПУТСТВО ЗА ПОПУЊАВАЊЕ ПРИЈАВНОГ ФОРМУЛАРА</w:t>
      </w:r>
    </w:p>
    <w:p w14:paraId="4C49FA26" w14:textId="12604C09" w:rsidR="00D76B7D" w:rsidRDefault="0051741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Пријавни формулар за Пакет подршке за унапређење административне ефикасности</w:t>
      </w:r>
      <w:r w:rsidR="00D12BF7">
        <w:rPr>
          <w:rFonts w:ascii="Tahoma" w:eastAsia="Tahoma" w:hAnsi="Tahoma" w:cs="Tahoma"/>
          <w:sz w:val="20"/>
          <w:szCs w:val="20"/>
          <w:lang w:val="sr-Cyrl-RS"/>
        </w:rPr>
        <w:t xml:space="preserve"> и делотворности</w:t>
      </w:r>
      <w:r>
        <w:rPr>
          <w:rFonts w:ascii="Tahoma" w:eastAsia="Tahoma" w:hAnsi="Tahoma" w:cs="Tahoma"/>
          <w:sz w:val="20"/>
          <w:szCs w:val="20"/>
        </w:rPr>
        <w:t xml:space="preserve"> на локалном нивоу је </w:t>
      </w:r>
      <w:r>
        <w:rPr>
          <w:rFonts w:ascii="Tahoma" w:eastAsia="Tahoma" w:hAnsi="Tahoma" w:cs="Tahoma"/>
          <w:b/>
          <w:sz w:val="20"/>
          <w:szCs w:val="20"/>
        </w:rPr>
        <w:t>обавезан део документације</w:t>
      </w:r>
      <w:r>
        <w:rPr>
          <w:rFonts w:ascii="Tahoma" w:eastAsia="Tahoma" w:hAnsi="Tahoma" w:cs="Tahoma"/>
          <w:sz w:val="20"/>
          <w:szCs w:val="20"/>
        </w:rPr>
        <w:t xml:space="preserve"> за подношење пријава. </w:t>
      </w:r>
    </w:p>
    <w:p w14:paraId="4C49FA27" w14:textId="3E9EBB5C" w:rsidR="00D76B7D" w:rsidRDefault="00517410">
      <w:pPr>
        <w:ind w:right="-4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Пријавни формулар састоји се из четири (4) дел</w:t>
      </w:r>
      <w:sdt>
        <w:sdtPr>
          <w:tag w:val="goog_rdk_13"/>
          <w:id w:val="-563957970"/>
        </w:sdtPr>
        <w:sdtEndPr/>
        <w:sdtContent>
          <w:r>
            <w:rPr>
              <w:rFonts w:ascii="Tahoma" w:eastAsia="Tahoma" w:hAnsi="Tahoma" w:cs="Tahoma"/>
              <w:sz w:val="20"/>
              <w:szCs w:val="20"/>
            </w:rPr>
            <w:t>а</w:t>
          </w:r>
        </w:sdtContent>
      </w:sdt>
      <w:r>
        <w:rPr>
          <w:rFonts w:ascii="Tahoma" w:eastAsia="Tahoma" w:hAnsi="Tahoma" w:cs="Tahoma"/>
          <w:sz w:val="20"/>
          <w:szCs w:val="20"/>
        </w:rPr>
        <w:t xml:space="preserve">. </w:t>
      </w:r>
    </w:p>
    <w:p w14:paraId="4C49FA28" w14:textId="681BFC1E" w:rsidR="00D76B7D" w:rsidRDefault="00517410">
      <w:pPr>
        <w:spacing w:line="240" w:lineRule="auto"/>
        <w:ind w:right="-4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Први део: ОПШТИ ПОДАЦИ</w:t>
      </w:r>
      <w:r>
        <w:rPr>
          <w:rFonts w:ascii="Tahoma" w:eastAsia="Tahoma" w:hAnsi="Tahoma" w:cs="Tahoma"/>
          <w:sz w:val="20"/>
          <w:szCs w:val="20"/>
        </w:rPr>
        <w:t xml:space="preserve"> представљају контакт </w:t>
      </w:r>
      <w:r w:rsidR="7912CEA6" w:rsidRPr="7F9E3183">
        <w:rPr>
          <w:rFonts w:ascii="Tahoma" w:eastAsia="Tahoma" w:hAnsi="Tahoma" w:cs="Tahoma"/>
          <w:sz w:val="20"/>
          <w:szCs w:val="20"/>
        </w:rPr>
        <w:t>податке</w:t>
      </w:r>
      <w:r>
        <w:rPr>
          <w:rFonts w:ascii="Tahoma" w:eastAsia="Tahoma" w:hAnsi="Tahoma" w:cs="Tahoma"/>
          <w:sz w:val="20"/>
          <w:szCs w:val="20"/>
        </w:rPr>
        <w:t xml:space="preserve"> о општини/граду/градској општини који се пријављује за пакет подршке за унапређење административне ефикасности и делотворности на локалном нивоу.</w:t>
      </w:r>
    </w:p>
    <w:p w14:paraId="4C49FA29" w14:textId="77777777" w:rsidR="00D76B7D" w:rsidRDefault="00517410">
      <w:pPr>
        <w:spacing w:line="240" w:lineRule="auto"/>
        <w:ind w:right="-46"/>
        <w:jc w:val="both"/>
        <w:rPr>
          <w:rFonts w:ascii="Tahoma" w:eastAsia="Tahoma" w:hAnsi="Tahoma" w:cs="Tahoma"/>
          <w:sz w:val="20"/>
          <w:szCs w:val="20"/>
        </w:rPr>
      </w:pPr>
      <w:bookmarkStart w:id="2" w:name="_heading=h.1fob9te" w:colFirst="0" w:colLast="0"/>
      <w:bookmarkEnd w:id="2"/>
      <w:r>
        <w:rPr>
          <w:rFonts w:ascii="Tahoma" w:eastAsia="Tahoma" w:hAnsi="Tahoma" w:cs="Tahoma"/>
          <w:b/>
          <w:sz w:val="20"/>
          <w:szCs w:val="20"/>
        </w:rPr>
        <w:t>Други део: ПОДАЦИ О КОНТАКТ ОСОБИ ЗА КОМУНИКАЦИЈУ И КООРДИНАЦИЈУ У ОКВИРУ ПАКЕТА ПОДРШКЕ</w:t>
      </w:r>
      <w:r>
        <w:rPr>
          <w:rFonts w:ascii="Tahoma" w:eastAsia="Tahoma" w:hAnsi="Tahoma" w:cs="Tahoma"/>
          <w:sz w:val="20"/>
          <w:szCs w:val="20"/>
        </w:rPr>
        <w:t xml:space="preserve"> представљају податке о контакт особи овлашћенoj за комуникацију са СКГО у периоду трајања јавног позива и евалуације поднетих пријава. </w:t>
      </w:r>
    </w:p>
    <w:p w14:paraId="4C49FA2A" w14:textId="703F04EA" w:rsidR="00D76B7D" w:rsidRDefault="00517410">
      <w:pPr>
        <w:spacing w:line="240" w:lineRule="auto"/>
        <w:ind w:right="-46"/>
        <w:jc w:val="both"/>
        <w:rPr>
          <w:rFonts w:ascii="Tahoma" w:eastAsia="Tahoma" w:hAnsi="Tahoma" w:cs="Tahoma"/>
          <w:sz w:val="20"/>
          <w:szCs w:val="20"/>
          <w:u w:val="single"/>
        </w:rPr>
      </w:pPr>
      <w:bookmarkStart w:id="3" w:name="_heading=h.3znysh7" w:colFirst="0" w:colLast="0"/>
      <w:bookmarkEnd w:id="3"/>
      <w:r>
        <w:rPr>
          <w:rFonts w:ascii="Tahoma" w:eastAsia="Tahoma" w:hAnsi="Tahoma" w:cs="Tahoma"/>
          <w:b/>
          <w:sz w:val="20"/>
          <w:szCs w:val="20"/>
        </w:rPr>
        <w:t>Трећи део: ПОДАЦИ О ЛОКАЛНОЈ САМОУПРАВИ РЕЛЕВАНТНИ ЗА ПРЕДМЕТ ПОДРШКЕ</w:t>
      </w:r>
      <w:r>
        <w:rPr>
          <w:rFonts w:ascii="Tahoma" w:eastAsia="Tahoma" w:hAnsi="Tahoma" w:cs="Tahoma"/>
          <w:sz w:val="20"/>
          <w:szCs w:val="20"/>
        </w:rPr>
        <w:t xml:space="preserve"> представљају обавезни део пријаве ради пружања неопходних информација о актуелном стању и условима у којима ЛС и запослени поступају. Ови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подаци су неопходни за разматрање пријаве, те је нужно дати одговарајуће информације. Важно је истаћи да ови подаци не представљају критеријуме на основу којих се бодује пријава, односно доноси одлука о избору ЛС. </w:t>
      </w:r>
      <w:r>
        <w:rPr>
          <w:rFonts w:ascii="Tahoma" w:eastAsia="Tahoma" w:hAnsi="Tahoma" w:cs="Tahoma"/>
          <w:sz w:val="20"/>
          <w:szCs w:val="20"/>
          <w:u w:val="single"/>
        </w:rPr>
        <w:t>Ипак, уколико изостану, евалуациона комисија може одлучити да такву пријаву не узме у разматрање услед недостатка информација потребних за одлучивање.</w:t>
      </w: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4C49FA2B" w14:textId="1467B9ED" w:rsidR="00D76B7D" w:rsidRDefault="00517410">
      <w:pPr>
        <w:ind w:right="-4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Четврти део: РАЗЛОЗИ ЗА ПРИЈАВЉИВАЊЕ ЗА ПАКЕТ ПОДРШКЕ</w:t>
      </w:r>
      <w:r>
        <w:rPr>
          <w:rFonts w:ascii="Tahoma" w:eastAsia="Tahoma" w:hAnsi="Tahoma" w:cs="Tahoma"/>
          <w:sz w:val="20"/>
          <w:szCs w:val="20"/>
        </w:rPr>
        <w:t xml:space="preserve"> представља део пријаве који се попуњава и бодује на начин како је то приказано у табели у Смерницама за подношење пријава. У питању су одговори на питања који треба да дају реалну слику о тренутном стању у вашој локалној самоуправи и релевантности подршке за коју се пријављујете, као и очекивањима и мотивисаности запослених и руководства да спроведу пакет подршке у свим предвиђеним областима. Истовремено, потребно је, што је прецизније могуће, описати механизме и начине којим ће постигнути резултати (заједнички усвојени предлози у форми аката, смерница, препорука и слично, као и унапређена знања) постати део редовног поступања/процедура ЛС</w:t>
      </w:r>
      <w:r w:rsidR="006B6E5A">
        <w:rPr>
          <w:rFonts w:ascii="Tahoma" w:eastAsia="Tahoma" w:hAnsi="Tahoma" w:cs="Tahoma"/>
          <w:sz w:val="20"/>
          <w:szCs w:val="20"/>
          <w:lang w:val="sr-Cyrl-RS"/>
        </w:rPr>
        <w:t xml:space="preserve">, тј. </w:t>
      </w:r>
      <w:r>
        <w:rPr>
          <w:rFonts w:ascii="Tahoma" w:eastAsia="Tahoma" w:hAnsi="Tahoma" w:cs="Tahoma"/>
          <w:sz w:val="20"/>
          <w:szCs w:val="20"/>
        </w:rPr>
        <w:t xml:space="preserve">одрживи. </w:t>
      </w:r>
      <w:r w:rsidRPr="00683B45">
        <w:rPr>
          <w:rFonts w:ascii="Tahoma" w:eastAsia="Tahoma" w:hAnsi="Tahoma" w:cs="Tahoma"/>
          <w:sz w:val="20"/>
          <w:szCs w:val="20"/>
          <w:u w:val="single"/>
        </w:rPr>
        <w:t>Из</w:t>
      </w:r>
      <w:r>
        <w:rPr>
          <w:rFonts w:ascii="Tahoma" w:eastAsia="Tahoma" w:hAnsi="Tahoma" w:cs="Tahoma"/>
          <w:sz w:val="20"/>
          <w:szCs w:val="20"/>
          <w:u w:val="single"/>
        </w:rPr>
        <w:t>остављени одговори на поједина питања у овом делу пријавног формулара бодоваће се са нула поена а евалуациона комисија може одлучити да такву пријаву не узме у разматрање услед недостатка информација потребних за одлучивање.</w:t>
      </w:r>
    </w:p>
    <w:p w14:paraId="4C49FA2C" w14:textId="77777777" w:rsidR="00D76B7D" w:rsidRDefault="005174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line="264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smallCaps/>
          <w:color w:val="000000"/>
          <w:sz w:val="20"/>
          <w:szCs w:val="20"/>
        </w:rPr>
        <w:t>УПУТСТВО ЗА ПОПУЊАВАЊЕ ИЗЈАВЕ О ИЗБОРУ ПАКЕТА ПОДРШКЕ И РЕДОСЛЕДУ ПРИОРИТЕТА ЗА ДОДЕЛУ ПАКЕТА ПОДРШКЕ</w:t>
      </w:r>
    </w:p>
    <w:p w14:paraId="4C49FA2D" w14:textId="4D15060E" w:rsidR="00D76B7D" w:rsidRDefault="00517410">
      <w:pPr>
        <w:spacing w:after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У формулару су наведена три пакета подршке за које град, општина или градска општина може да </w:t>
      </w:r>
      <w:r w:rsidR="00F212D1">
        <w:rPr>
          <w:rFonts w:ascii="Tahoma" w:eastAsia="Tahoma" w:hAnsi="Tahoma" w:cs="Tahoma"/>
          <w:sz w:val="20"/>
          <w:szCs w:val="20"/>
          <w:lang w:val="sr-Cyrl-RS"/>
        </w:rPr>
        <w:t xml:space="preserve">се </w:t>
      </w:r>
      <w:r w:rsidR="001D075C">
        <w:rPr>
          <w:rFonts w:ascii="Tahoma" w:eastAsia="Tahoma" w:hAnsi="Tahoma" w:cs="Tahoma"/>
          <w:sz w:val="20"/>
          <w:szCs w:val="20"/>
          <w:lang w:val="sr-Cyrl-RS"/>
        </w:rPr>
        <w:t>пријав</w:t>
      </w:r>
      <w:r w:rsidR="00F212D1">
        <w:rPr>
          <w:rFonts w:ascii="Tahoma" w:eastAsia="Tahoma" w:hAnsi="Tahoma" w:cs="Tahoma"/>
          <w:sz w:val="20"/>
          <w:szCs w:val="20"/>
          <w:lang w:val="sr-Cyrl-RS"/>
        </w:rPr>
        <w:t>и</w:t>
      </w:r>
      <w:r>
        <w:rPr>
          <w:rFonts w:ascii="Tahoma" w:eastAsia="Tahoma" w:hAnsi="Tahoma" w:cs="Tahoma"/>
          <w:sz w:val="20"/>
          <w:szCs w:val="20"/>
        </w:rPr>
        <w:t xml:space="preserve"> у оквиру јавног позива</w:t>
      </w:r>
      <w:r>
        <w:rPr>
          <w:rFonts w:ascii="Tahoma" w:eastAsia="Tahoma" w:hAnsi="Tahoma" w:cs="Tahoma"/>
          <w:sz w:val="20"/>
          <w:szCs w:val="20"/>
          <w:vertAlign w:val="superscript"/>
        </w:rPr>
        <w:footnoteReference w:id="4"/>
      </w:r>
      <w:r>
        <w:rPr>
          <w:rFonts w:ascii="Tahoma" w:eastAsia="Tahoma" w:hAnsi="Tahoma" w:cs="Tahoma"/>
          <w:sz w:val="20"/>
          <w:szCs w:val="20"/>
        </w:rPr>
        <w:t xml:space="preserve"> који је објавила </w:t>
      </w:r>
      <w:r w:rsidR="00F212D1">
        <w:rPr>
          <w:rFonts w:ascii="Tahoma" w:eastAsia="Tahoma" w:hAnsi="Tahoma" w:cs="Tahoma"/>
          <w:sz w:val="20"/>
          <w:szCs w:val="20"/>
          <w:lang w:val="sr-Cyrl-RS"/>
        </w:rPr>
        <w:t>СКГО</w:t>
      </w:r>
      <w:r>
        <w:rPr>
          <w:rFonts w:ascii="Tahoma" w:eastAsia="Tahoma" w:hAnsi="Tahoma" w:cs="Tahoma"/>
          <w:sz w:val="20"/>
          <w:szCs w:val="20"/>
        </w:rPr>
        <w:t xml:space="preserve">, а то су: </w:t>
      </w:r>
    </w:p>
    <w:p w14:paraId="4C49FA2E" w14:textId="1DD57391" w:rsidR="00D76B7D" w:rsidRDefault="00517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" w:hanging="288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7F9E3183">
        <w:rPr>
          <w:rFonts w:ascii="Tahoma" w:eastAsia="Tahoma" w:hAnsi="Tahoma" w:cs="Tahoma"/>
          <w:color w:val="000000" w:themeColor="text1"/>
          <w:sz w:val="20"/>
          <w:szCs w:val="20"/>
        </w:rPr>
        <w:t>а) Пакет подршке за унапређење административне ефикасности и делотворности на локалном нивоу</w:t>
      </w:r>
    </w:p>
    <w:p w14:paraId="4C49FA2F" w14:textId="77777777" w:rsidR="00D76B7D" w:rsidRDefault="00517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б) Пакет подршке за унапређење грађанског учешћа и транспарентности на локалном нивоу </w:t>
      </w:r>
    </w:p>
    <w:p w14:paraId="4C49FA30" w14:textId="77777777" w:rsidR="00D76B7D" w:rsidRDefault="0051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в) Пакет подршке за унапређење одговорности и спречавања корупције на локалном нивоу</w:t>
      </w:r>
    </w:p>
    <w:p w14:paraId="4C49FA31" w14:textId="77777777" w:rsidR="00D76B7D" w:rsidRDefault="0051741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Град или општина може да се определи да конкурише за један, два или сва три пакета подршке што потврђује заокруживањем слова (а) и/или (б) и/или (в) испред назива пакета подршке за који(е) ће поднети пријаву.</w:t>
      </w:r>
    </w:p>
    <w:p w14:paraId="4C49FA32" w14:textId="77777777" w:rsidR="00D76B7D" w:rsidRDefault="00D76B7D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4C49FA33" w14:textId="0C244035" w:rsidR="00D76B7D" w:rsidRDefault="00517410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Градске општине могу да конкуришу искључиво за пакет подршке за </w:t>
      </w:r>
      <w:r w:rsidRPr="7F9E3183">
        <w:rPr>
          <w:rFonts w:ascii="Tahoma" w:eastAsia="Tahoma" w:hAnsi="Tahoma" w:cs="Tahoma"/>
          <w:sz w:val="20"/>
          <w:szCs w:val="20"/>
        </w:rPr>
        <w:t>унапређ</w:t>
      </w:r>
      <w:r w:rsidR="348C94A0" w:rsidRPr="7F9E3183">
        <w:rPr>
          <w:rFonts w:ascii="Tahoma" w:eastAsia="Tahoma" w:hAnsi="Tahoma" w:cs="Tahoma"/>
          <w:sz w:val="20"/>
          <w:szCs w:val="20"/>
        </w:rPr>
        <w:t>ење</w:t>
      </w:r>
      <w:r>
        <w:rPr>
          <w:rFonts w:ascii="Tahoma" w:eastAsia="Tahoma" w:hAnsi="Tahoma" w:cs="Tahoma"/>
          <w:sz w:val="20"/>
          <w:szCs w:val="20"/>
        </w:rPr>
        <w:t xml:space="preserve"> административне ефикасности и делотворности и за пакет подршке за унапређење грађанског учешћа и транспарентности на локалном нивоу.</w:t>
      </w:r>
    </w:p>
    <w:p w14:paraId="4C49FA34" w14:textId="77777777" w:rsidR="00D76B7D" w:rsidRDefault="00517410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Будући да, према условима јавног позива, једној локалној самоуправи може бити одобрена реализација само једног пакета подршке, у случају да се град/општина/градска општина пријављује за сва три пакета подршке или два пакета подршке неопходно је да одреди редослед приоритета за доделу пакета подршке уносећи цифре 1, 2 или 3 односно 1 или 2 у предвиђену колону у табели Изјаве, за оне пакете за које се пријављује, при чему 1 представља највећи приоритет.  </w:t>
      </w:r>
    </w:p>
    <w:p w14:paraId="4C49FA35" w14:textId="3D039743" w:rsidR="00D76B7D" w:rsidRDefault="00517410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Изјава о избору пакета подршке и редоследу приоритета за доделу пакета подршке треба да буде потписана и печатирана од стране градоначелника/председника општине</w:t>
      </w:r>
      <w:r w:rsidR="0017354F">
        <w:rPr>
          <w:rFonts w:ascii="Tahoma" w:eastAsia="Tahoma" w:hAnsi="Tahoma" w:cs="Tahoma"/>
          <w:sz w:val="20"/>
          <w:szCs w:val="20"/>
          <w:lang w:val="sr-Latn-RS"/>
        </w:rPr>
        <w:t>/</w:t>
      </w:r>
      <w:r w:rsidR="0017354F">
        <w:rPr>
          <w:rFonts w:ascii="Tahoma" w:eastAsia="Tahoma" w:hAnsi="Tahoma" w:cs="Tahoma"/>
          <w:sz w:val="20"/>
          <w:szCs w:val="20"/>
          <w:lang w:val="sr-Cyrl-RS"/>
        </w:rPr>
        <w:t>председника привременог органа</w:t>
      </w:r>
      <w:r>
        <w:rPr>
          <w:rFonts w:ascii="Tahoma" w:eastAsia="Tahoma" w:hAnsi="Tahoma" w:cs="Tahoma"/>
          <w:sz w:val="20"/>
          <w:szCs w:val="20"/>
        </w:rPr>
        <w:t xml:space="preserve"> и поднета на меморандуму града</w:t>
      </w:r>
      <w:r w:rsidR="0017354F">
        <w:rPr>
          <w:rFonts w:ascii="Tahoma" w:eastAsia="Tahoma" w:hAnsi="Tahoma" w:cs="Tahoma"/>
          <w:sz w:val="20"/>
          <w:szCs w:val="20"/>
          <w:lang w:val="sr-Latn-RS"/>
        </w:rPr>
        <w:t>/</w:t>
      </w:r>
      <w:r>
        <w:rPr>
          <w:rFonts w:ascii="Tahoma" w:eastAsia="Tahoma" w:hAnsi="Tahoma" w:cs="Tahoma"/>
          <w:sz w:val="20"/>
          <w:szCs w:val="20"/>
        </w:rPr>
        <w:t>општине</w:t>
      </w:r>
      <w:r w:rsidR="0017354F">
        <w:rPr>
          <w:rFonts w:ascii="Tahoma" w:eastAsia="Tahoma" w:hAnsi="Tahoma" w:cs="Tahoma"/>
          <w:sz w:val="20"/>
          <w:szCs w:val="20"/>
          <w:lang w:val="sr-Latn-RS"/>
        </w:rPr>
        <w:t>/</w:t>
      </w:r>
      <w:r w:rsidR="0017354F">
        <w:rPr>
          <w:rFonts w:ascii="Tahoma" w:eastAsia="Tahoma" w:hAnsi="Tahoma" w:cs="Tahoma"/>
          <w:sz w:val="20"/>
          <w:szCs w:val="20"/>
          <w:lang w:val="sr-Cyrl-RS"/>
        </w:rPr>
        <w:t>градске општине</w:t>
      </w:r>
      <w:r>
        <w:rPr>
          <w:rFonts w:ascii="Tahoma" w:eastAsia="Tahoma" w:hAnsi="Tahoma" w:cs="Tahoma"/>
          <w:sz w:val="20"/>
          <w:szCs w:val="20"/>
        </w:rPr>
        <w:t xml:space="preserve">. </w:t>
      </w:r>
    </w:p>
    <w:p w14:paraId="4C49FA36" w14:textId="77777777" w:rsidR="00D76B7D" w:rsidRDefault="0051741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Подношење изјаве о избору пакета подршке и редоследу приоритета за доделу пакета подршке је обавезан део документације за подношење пријаве за сваки од пакета подршке за који се ЈЛС пријављује и у склопу пријаве за сваки од пакета за који се конкурише је неопходно поднети идентичну изјаву.   </w:t>
      </w:r>
    </w:p>
    <w:p w14:paraId="4C49FA37" w14:textId="5F7A2201" w:rsidR="00D76B7D" w:rsidRDefault="005174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64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КРИТЕРИЈУМИ И ПОСТУПАК ДОДЕЛЕ ПАКЕТА </w:t>
      </w:r>
      <w:r w:rsidR="00791277">
        <w:rPr>
          <w:rFonts w:ascii="Tahoma" w:eastAsia="Tahoma" w:hAnsi="Tahoma" w:cs="Tahoma"/>
          <w:b/>
          <w:color w:val="000000"/>
          <w:sz w:val="20"/>
          <w:szCs w:val="20"/>
          <w:lang w:val="sr-Cyrl-RS"/>
        </w:rPr>
        <w:t>ПОДРШКЕ</w:t>
      </w:r>
    </w:p>
    <w:p w14:paraId="4C49FA38" w14:textId="464BC6FD" w:rsidR="00D76B7D" w:rsidRDefault="00517410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У циљу избора </w:t>
      </w:r>
      <w:r w:rsidR="00791277">
        <w:rPr>
          <w:rFonts w:ascii="Tahoma" w:eastAsia="Tahoma" w:hAnsi="Tahoma" w:cs="Tahoma"/>
          <w:color w:val="000000"/>
          <w:sz w:val="20"/>
          <w:szCs w:val="20"/>
          <w:lang w:val="sr-Cyrl-RS"/>
        </w:rPr>
        <w:t>пет (</w:t>
      </w:r>
      <w:r>
        <w:rPr>
          <w:rFonts w:ascii="Tahoma" w:eastAsia="Tahoma" w:hAnsi="Tahoma" w:cs="Tahoma"/>
          <w:color w:val="000000"/>
          <w:sz w:val="20"/>
          <w:szCs w:val="20"/>
        </w:rPr>
        <w:t>5</w:t>
      </w:r>
      <w:r w:rsidR="00791277">
        <w:rPr>
          <w:rFonts w:ascii="Tahoma" w:eastAsia="Tahoma" w:hAnsi="Tahoma" w:cs="Tahoma"/>
          <w:color w:val="000000"/>
          <w:sz w:val="20"/>
          <w:szCs w:val="20"/>
          <w:lang w:val="sr-Cyrl-RS"/>
        </w:rPr>
        <w:t>)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локалних самоуправа којима ће бити додељен Пакет подршке биће формирана евалуациона комисија, која ће </w:t>
      </w:r>
      <w:r w:rsidR="000F6985">
        <w:rPr>
          <w:rFonts w:ascii="Tahoma" w:eastAsia="Tahoma" w:hAnsi="Tahoma" w:cs="Tahoma"/>
          <w:color w:val="000000"/>
          <w:sz w:val="20"/>
          <w:szCs w:val="20"/>
          <w:lang w:val="sr-Cyrl-RS"/>
        </w:rPr>
        <w:t>оценити и рангирати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="000F6985">
        <w:rPr>
          <w:rFonts w:ascii="Tahoma" w:eastAsia="Tahoma" w:hAnsi="Tahoma" w:cs="Tahoma"/>
          <w:color w:val="000000"/>
          <w:sz w:val="20"/>
          <w:szCs w:val="20"/>
          <w:lang w:val="sr-Cyrl-RS"/>
        </w:rPr>
        <w:t>поднете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пријав</w:t>
      </w:r>
      <w:r w:rsidR="000F6985">
        <w:rPr>
          <w:rFonts w:ascii="Tahoma" w:eastAsia="Tahoma" w:hAnsi="Tahoma" w:cs="Tahoma"/>
          <w:color w:val="000000"/>
          <w:sz w:val="20"/>
          <w:szCs w:val="20"/>
          <w:lang w:val="sr-Cyrl-RS"/>
        </w:rPr>
        <w:t>е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. </w:t>
      </w:r>
    </w:p>
    <w:p w14:paraId="4C49FA39" w14:textId="77777777" w:rsidR="00D76B7D" w:rsidRDefault="0051741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Све пријаве које су достављене у року дефинисаном у тачки 3. ових Смерница ће у првом кораку бити провераване у смислу административне усаглашености са условима дефинисаним овим Смерницама.</w:t>
      </w:r>
    </w:p>
    <w:p w14:paraId="4C49FA3A" w14:textId="77777777" w:rsidR="00D76B7D" w:rsidRDefault="0051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ahoma" w:eastAsia="Tahoma" w:hAnsi="Tahoma" w:cs="Tahoma"/>
          <w:color w:val="000000"/>
          <w:sz w:val="20"/>
          <w:szCs w:val="20"/>
          <w:u w:val="single"/>
        </w:rPr>
      </w:pPr>
      <w:r>
        <w:rPr>
          <w:rFonts w:ascii="Tahoma" w:eastAsia="Tahoma" w:hAnsi="Tahoma" w:cs="Tahoma"/>
          <w:color w:val="000000"/>
          <w:sz w:val="20"/>
          <w:szCs w:val="20"/>
          <w:u w:val="single"/>
        </w:rPr>
        <w:t>Административна усаглашеност пријаве са захтевима дефинисаним овим позивом подразумева да је:</w:t>
      </w:r>
    </w:p>
    <w:p w14:paraId="4C49FA3B" w14:textId="6A3C4980" w:rsidR="00D76B7D" w:rsidRDefault="005174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Пријавни формулар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попуњен у складу са тачком 4. датих Смерниц</w:t>
      </w:r>
      <w:r w:rsidR="0070111C">
        <w:rPr>
          <w:rFonts w:ascii="Tahoma" w:eastAsia="Tahoma" w:hAnsi="Tahoma" w:cs="Tahoma"/>
          <w:color w:val="000000"/>
          <w:sz w:val="20"/>
          <w:szCs w:val="20"/>
          <w:lang w:val="sr-Latn-RS"/>
        </w:rPr>
        <w:t xml:space="preserve">a </w:t>
      </w:r>
      <w:r w:rsidR="00044EB2">
        <w:rPr>
          <w:rFonts w:ascii="Tahoma" w:eastAsia="Tahoma" w:hAnsi="Tahoma" w:cs="Tahoma"/>
          <w:color w:val="000000"/>
          <w:sz w:val="20"/>
          <w:szCs w:val="20"/>
          <w:lang w:val="sr-Cyrl-RS"/>
        </w:rPr>
        <w:t xml:space="preserve">и 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достављен према инструкцијама датим у тачки 3. ових Смерница. </w:t>
      </w:r>
    </w:p>
    <w:p w14:paraId="4C49FA3C" w14:textId="7B204E30" w:rsidR="00D76B7D" w:rsidRDefault="005174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Изјава о избору пакета подршке и редоследу приоритета за доделу пакета подршке </w:t>
      </w:r>
      <w:r>
        <w:rPr>
          <w:rFonts w:ascii="Tahoma" w:eastAsia="Tahoma" w:hAnsi="Tahoma" w:cs="Tahoma"/>
          <w:color w:val="000000"/>
          <w:sz w:val="20"/>
          <w:szCs w:val="20"/>
        </w:rPr>
        <w:t>попуњена у складу са тачком 5. датих Смерница</w:t>
      </w:r>
      <w:r w:rsidR="00C755F2">
        <w:rPr>
          <w:rFonts w:ascii="Tahoma" w:eastAsia="Tahoma" w:hAnsi="Tahoma" w:cs="Tahoma"/>
          <w:color w:val="000000"/>
          <w:sz w:val="20"/>
          <w:szCs w:val="20"/>
          <w:lang w:val="sr-Cyrl-RS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и </w:t>
      </w:r>
      <w:r w:rsidR="00C755F2">
        <w:rPr>
          <w:rFonts w:ascii="Tahoma" w:eastAsia="Tahoma" w:hAnsi="Tahoma" w:cs="Tahoma"/>
          <w:color w:val="000000"/>
          <w:sz w:val="20"/>
          <w:szCs w:val="20"/>
          <w:lang w:val="sr-Cyrl-RS"/>
        </w:rPr>
        <w:t xml:space="preserve">поднета </w:t>
      </w:r>
      <w:r>
        <w:rPr>
          <w:rFonts w:ascii="Tahoma" w:eastAsia="Tahoma" w:hAnsi="Tahoma" w:cs="Tahoma"/>
          <w:color w:val="000000"/>
          <w:sz w:val="20"/>
          <w:szCs w:val="20"/>
        </w:rPr>
        <w:t>према инструкцијама датим у тачки 3. ових Смерница.</w:t>
      </w:r>
    </w:p>
    <w:p w14:paraId="4C49FA3D" w14:textId="72C95D5B" w:rsidR="00D76B7D" w:rsidRDefault="008407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ahoma" w:eastAsia="Tahoma" w:hAnsi="Tahoma" w:cs="Tahoma"/>
          <w:color w:val="000000"/>
          <w:sz w:val="20"/>
          <w:szCs w:val="20"/>
          <w:u w:val="single"/>
        </w:rPr>
      </w:pPr>
      <w:r>
        <w:rPr>
          <w:rFonts w:ascii="Tahoma" w:eastAsia="Tahoma" w:hAnsi="Tahoma" w:cs="Tahoma"/>
          <w:color w:val="000000"/>
          <w:sz w:val="20"/>
          <w:szCs w:val="20"/>
          <w:u w:val="single"/>
          <w:lang w:val="sr-Cyrl-RS"/>
        </w:rPr>
        <w:t>Евалуациона комисија ће п</w:t>
      </w:r>
      <w:r w:rsidR="00517410">
        <w:rPr>
          <w:rFonts w:ascii="Tahoma" w:eastAsia="Tahoma" w:hAnsi="Tahoma" w:cs="Tahoma"/>
          <w:color w:val="000000"/>
          <w:sz w:val="20"/>
          <w:szCs w:val="20"/>
          <w:u w:val="single"/>
        </w:rPr>
        <w:t>ријаве које су административно усаглашене са захтевима позива оцењивати у складу са следећим критеријумима:</w:t>
      </w:r>
    </w:p>
    <w:p w14:paraId="4C49FA3E" w14:textId="77777777" w:rsidR="00D76B7D" w:rsidRDefault="005174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Релевантност пријаве и очекивани резултати</w:t>
      </w:r>
    </w:p>
    <w:p w14:paraId="4C49FA3F" w14:textId="77777777" w:rsidR="00D76B7D" w:rsidRDefault="005174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Прихватање промена и одрживост</w:t>
      </w:r>
    </w:p>
    <w:p w14:paraId="4C49FA40" w14:textId="77777777" w:rsidR="00D76B7D" w:rsidRDefault="005174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Мотивисаност и степен укључености циљне групе</w:t>
      </w:r>
    </w:p>
    <w:p w14:paraId="4C49FA41" w14:textId="77777777" w:rsidR="00D76B7D" w:rsidRDefault="00D76B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4C49FA42" w14:textId="77777777" w:rsidR="00D76B7D" w:rsidRDefault="00517410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Табеларни приказ критеријума за оцењивање је дат у наставку текста:</w:t>
      </w:r>
    </w:p>
    <w:p w14:paraId="4C49FA43" w14:textId="77777777" w:rsidR="00D76B7D" w:rsidRDefault="00D76B7D">
      <w:pPr>
        <w:spacing w:after="0"/>
        <w:rPr>
          <w:rFonts w:ascii="Tahoma" w:eastAsia="Tahoma" w:hAnsi="Tahoma" w:cs="Tahoma"/>
        </w:rPr>
      </w:pPr>
    </w:p>
    <w:tbl>
      <w:tblPr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816"/>
        <w:gridCol w:w="1857"/>
        <w:gridCol w:w="2281"/>
      </w:tblGrid>
      <w:tr w:rsidR="00D76B7D" w14:paraId="4C49FA47" w14:textId="77777777">
        <w:trPr>
          <w:trHeight w:val="737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4C49FA44" w14:textId="77777777" w:rsidR="00D76B7D" w:rsidRDefault="00517410">
            <w:pPr>
              <w:spacing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lastRenderedPageBreak/>
              <w:t>Критеријуми за оцењивање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4C49FA45" w14:textId="11C51A07" w:rsidR="00D76B7D" w:rsidRDefault="00517410" w:rsidP="005569BB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Макс. бр. </w:t>
            </w:r>
            <w:r w:rsidR="008407CC">
              <w:rPr>
                <w:rFonts w:ascii="Tahoma" w:eastAsia="Tahoma" w:hAnsi="Tahoma" w:cs="Tahoma"/>
                <w:b/>
                <w:sz w:val="20"/>
                <w:szCs w:val="20"/>
                <w:lang w:val="sr-Cyrl-RS"/>
              </w:rPr>
              <w:t>б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одова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4C49FA46" w14:textId="77777777" w:rsidR="00D76B7D" w:rsidRDefault="00517410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Секција у пријавном формулару</w:t>
            </w:r>
          </w:p>
        </w:tc>
      </w:tr>
      <w:tr w:rsidR="00D76B7D" w14:paraId="4C49FA4B" w14:textId="77777777">
        <w:trPr>
          <w:trHeight w:val="567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C49FA48" w14:textId="77777777" w:rsidR="00D76B7D" w:rsidRDefault="00517410">
            <w:pPr>
              <w:spacing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Релевантност пријаве и очекивани резултати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C49FA49" w14:textId="73352AD0" w:rsidR="00D76B7D" w:rsidRPr="00C82B7F" w:rsidRDefault="00097AF9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val="en-US"/>
              </w:rPr>
            </w:pPr>
            <w:sdt>
              <w:sdtPr>
                <w:tag w:val="goog_rdk_15"/>
                <w:id w:val="-2048749488"/>
              </w:sdtPr>
              <w:sdtEndPr/>
              <w:sdtContent/>
            </w:sdt>
            <w:r w:rsidR="00C82B7F">
              <w:rPr>
                <w:rFonts w:ascii="Tahoma" w:eastAsia="Tahoma" w:hAnsi="Tahoma" w:cs="Tahoma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C49FA4A" w14:textId="77777777" w:rsidR="00D76B7D" w:rsidRDefault="00D76B7D">
            <w:pPr>
              <w:spacing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  <w:tr w:rsidR="00D76B7D" w14:paraId="4C49FA50" w14:textId="77777777">
        <w:trPr>
          <w:trHeight w:val="454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9FA4C" w14:textId="77777777" w:rsidR="00D76B7D" w:rsidRDefault="00517410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Релевантност аплицирања за одређени вид подршке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9FA4D" w14:textId="77777777" w:rsidR="00D76B7D" w:rsidRDefault="00517410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30 </w:t>
            </w:r>
          </w:p>
          <w:p w14:paraId="4C49FA4E" w14:textId="77777777" w:rsidR="00D76B7D" w:rsidRDefault="00517410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(3x10)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9FA4F" w14:textId="77777777" w:rsidR="00D76B7D" w:rsidRDefault="00517410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4.1.1, 4.2.1, 4.3.1 и </w:t>
            </w:r>
          </w:p>
        </w:tc>
      </w:tr>
      <w:tr w:rsidR="00D76B7D" w14:paraId="4C49FA55" w14:textId="77777777">
        <w:trPr>
          <w:trHeight w:val="718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9FA51" w14:textId="77777777" w:rsidR="00D76B7D" w:rsidRDefault="00517410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Очекивани резултати након реализације пакета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9FA52" w14:textId="77777777" w:rsidR="00D76B7D" w:rsidRDefault="00517410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15</w:t>
            </w:r>
          </w:p>
          <w:p w14:paraId="4C49FA53" w14:textId="77777777" w:rsidR="00D76B7D" w:rsidRDefault="00517410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(3x5)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9FA54" w14:textId="77777777" w:rsidR="00D76B7D" w:rsidRDefault="00517410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4.1.2, 4.2.2, 4.3.2 и </w:t>
            </w:r>
          </w:p>
        </w:tc>
      </w:tr>
      <w:tr w:rsidR="00D76B7D" w14:paraId="4C49FA59" w14:textId="77777777">
        <w:trPr>
          <w:trHeight w:val="567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C49FA56" w14:textId="77777777" w:rsidR="00D76B7D" w:rsidRDefault="00517410">
            <w:pPr>
              <w:spacing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Прихватање промена и одрживост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C49FA57" w14:textId="77777777" w:rsidR="00D76B7D" w:rsidRDefault="00517410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C49FA58" w14:textId="77777777" w:rsidR="00D76B7D" w:rsidRDefault="00D76B7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76B7D" w14:paraId="4C49FA5E" w14:textId="77777777">
        <w:trPr>
          <w:trHeight w:val="454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9FA5A" w14:textId="77777777" w:rsidR="00D76B7D" w:rsidRDefault="00517410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Начин интегрисања промена у поступању запослених и одрживост резултата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9FA5B" w14:textId="77777777" w:rsidR="00D76B7D" w:rsidRDefault="00517410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15</w:t>
            </w:r>
          </w:p>
          <w:p w14:paraId="4C49FA5C" w14:textId="77777777" w:rsidR="00D76B7D" w:rsidRDefault="00517410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(3x5)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9FA5D" w14:textId="77777777" w:rsidR="00D76B7D" w:rsidRDefault="00517410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4.1.3, 4.2.3, 4.3.3 и </w:t>
            </w:r>
          </w:p>
        </w:tc>
      </w:tr>
      <w:tr w:rsidR="00D76B7D" w14:paraId="4C49FA62" w14:textId="77777777">
        <w:trPr>
          <w:trHeight w:val="454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C49FA5F" w14:textId="77777777" w:rsidR="00D76B7D" w:rsidRDefault="00517410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Мотивисаност и степен укључености циљне групе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C49FA60" w14:textId="77777777" w:rsidR="00D76B7D" w:rsidRDefault="00517410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C49FA61" w14:textId="77777777" w:rsidR="00D76B7D" w:rsidRDefault="00D76B7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76B7D" w14:paraId="4C49FA66" w14:textId="77777777">
        <w:trPr>
          <w:trHeight w:val="454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9FA63" w14:textId="4A7097CD" w:rsidR="00D76B7D" w:rsidRDefault="00517410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Мотивисаност запослених и руководства за евентуалне промене у поступању и начин у</w:t>
            </w:r>
            <w:r w:rsidR="0055253D">
              <w:rPr>
                <w:rFonts w:ascii="Tahoma" w:eastAsia="Tahoma" w:hAnsi="Tahoma" w:cs="Tahoma"/>
                <w:sz w:val="20"/>
                <w:szCs w:val="20"/>
                <w:lang w:val="sr-Cyrl-RS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ључивања запослених и руководства у спровођењу пакета подршке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9FA64" w14:textId="77777777" w:rsidR="00D76B7D" w:rsidRDefault="00517410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10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9FA65" w14:textId="77777777" w:rsidR="00D76B7D" w:rsidRDefault="00517410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4.4.1</w:t>
            </w:r>
          </w:p>
        </w:tc>
      </w:tr>
      <w:tr w:rsidR="00D76B7D" w14:paraId="4C49FA6A" w14:textId="77777777">
        <w:trPr>
          <w:trHeight w:val="567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C49FA67" w14:textId="77777777" w:rsidR="00D76B7D" w:rsidRDefault="00517410">
            <w:pPr>
              <w:spacing w:before="40" w:after="40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Укупно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C49FA68" w14:textId="0C5B33C2" w:rsidR="00D76B7D" w:rsidRPr="00517410" w:rsidRDefault="00517410">
            <w:pPr>
              <w:spacing w:before="40" w:after="40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C49FA69" w14:textId="77777777" w:rsidR="00D76B7D" w:rsidRDefault="00D76B7D">
            <w:pPr>
              <w:spacing w:before="40" w:after="40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4C49FA6B" w14:textId="77777777" w:rsidR="00D76B7D" w:rsidRDefault="00D76B7D">
      <w:pPr>
        <w:ind w:right="-46"/>
        <w:rPr>
          <w:rFonts w:ascii="Tahoma" w:eastAsia="Tahoma" w:hAnsi="Tahoma" w:cs="Tahoma"/>
        </w:rPr>
      </w:pPr>
    </w:p>
    <w:p w14:paraId="4C49FA6C" w14:textId="77777777" w:rsidR="00D76B7D" w:rsidRDefault="00517410">
      <w:pPr>
        <w:ind w:right="-4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Селекција градова, општина и градских општина вршиће се на основу јединственог рангирања по броју остварених бодова уз уважавање следећих додатних критеријума:</w:t>
      </w:r>
    </w:p>
    <w:p w14:paraId="4C49FA6D" w14:textId="77777777" w:rsidR="00D76B7D" w:rsidRDefault="005174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9" w:lineRule="auto"/>
        <w:ind w:right="-46"/>
        <w:rPr>
          <w:rFonts w:ascii="Tahoma" w:eastAsia="Tahoma" w:hAnsi="Tahoma" w:cs="Tahoma"/>
          <w:color w:val="000000"/>
          <w:sz w:val="20"/>
          <w:szCs w:val="20"/>
        </w:rPr>
      </w:pPr>
      <w:bookmarkStart w:id="4" w:name="_heading=h.2et92p0" w:colFirst="0" w:colLast="0"/>
      <w:bookmarkEnd w:id="4"/>
      <w:r>
        <w:rPr>
          <w:rFonts w:ascii="Tahoma" w:eastAsia="Tahoma" w:hAnsi="Tahoma" w:cs="Tahoma"/>
          <w:color w:val="000000"/>
          <w:sz w:val="20"/>
          <w:szCs w:val="20"/>
        </w:rPr>
        <w:t>да најмање једна општина испод 25.000 становника буде корисник Пакета подршке,</w:t>
      </w:r>
    </w:p>
    <w:p w14:paraId="4C49FA6E" w14:textId="77777777" w:rsidR="00D76B7D" w:rsidRDefault="005174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9" w:lineRule="auto"/>
        <w:ind w:right="-46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да најмање једна општина изнад 25.000 буде корисник Пакета подршке, </w:t>
      </w:r>
    </w:p>
    <w:p w14:paraId="4C49FA6F" w14:textId="77777777" w:rsidR="00D76B7D" w:rsidRDefault="005174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9" w:lineRule="auto"/>
        <w:ind w:right="-46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да најмање један град буде корисник Пакета подршке.</w:t>
      </w:r>
    </w:p>
    <w:p w14:paraId="4C49FA70" w14:textId="77777777" w:rsidR="00D76B7D" w:rsidRDefault="0051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bookmarkStart w:id="5" w:name="_heading=h.tyjcwt" w:colFirst="0" w:colLast="0"/>
      <w:bookmarkEnd w:id="5"/>
      <w:r>
        <w:rPr>
          <w:rFonts w:ascii="Tahoma" w:eastAsia="Tahoma" w:hAnsi="Tahoma" w:cs="Tahoma"/>
          <w:color w:val="000000"/>
          <w:sz w:val="20"/>
          <w:szCs w:val="20"/>
        </w:rPr>
        <w:t xml:space="preserve">Од наведеног додатног критеријума се може одступити у случају недовољног броја пристиглих пријава из одређене категорије ЈЛС. </w:t>
      </w:r>
    </w:p>
    <w:p w14:paraId="4C49FA71" w14:textId="6CBE8783" w:rsidR="00D76B7D" w:rsidRDefault="00517410">
      <w:pPr>
        <w:spacing w:after="240"/>
        <w:rPr>
          <w:sz w:val="20"/>
          <w:szCs w:val="20"/>
          <w:highlight w:val="green"/>
        </w:rPr>
      </w:pPr>
      <w:r>
        <w:rPr>
          <w:rFonts w:ascii="Tahoma" w:eastAsia="Tahoma" w:hAnsi="Tahoma" w:cs="Tahoma"/>
          <w:sz w:val="20"/>
          <w:szCs w:val="20"/>
        </w:rPr>
        <w:t xml:space="preserve">У обзир ће бити узете само пријаве које остваре најмање </w:t>
      </w:r>
      <w:r w:rsidRPr="00921029">
        <w:rPr>
          <w:rFonts w:ascii="Tahoma" w:eastAsia="Tahoma" w:hAnsi="Tahoma" w:cs="Tahoma"/>
          <w:b/>
          <w:sz w:val="20"/>
          <w:szCs w:val="20"/>
        </w:rPr>
        <w:t>35</w:t>
      </w:r>
      <w:r>
        <w:rPr>
          <w:rFonts w:ascii="Tahoma" w:eastAsia="Tahoma" w:hAnsi="Tahoma" w:cs="Tahoma"/>
          <w:b/>
          <w:sz w:val="20"/>
          <w:szCs w:val="20"/>
        </w:rPr>
        <w:t xml:space="preserve"> бодова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4C49FA72" w14:textId="77777777" w:rsidR="00D76B7D" w:rsidRDefault="005174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ОБАВЕШТЕЊЕ ПОДНОСИЛАЦА ПРИЈАВА О ИЗБОРУ</w:t>
      </w:r>
    </w:p>
    <w:p w14:paraId="4C49FA73" w14:textId="05F09570" w:rsidR="00D76B7D" w:rsidRDefault="00517410">
      <w:pPr>
        <w:spacing w:after="24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Сви подносиоци пријава, тј. одабране </w:t>
      </w:r>
      <w:r w:rsidR="689928B4" w:rsidRPr="7F9E3183">
        <w:rPr>
          <w:rFonts w:ascii="Tahoma" w:eastAsia="Tahoma" w:hAnsi="Tahoma" w:cs="Tahoma"/>
          <w:sz w:val="20"/>
          <w:szCs w:val="20"/>
        </w:rPr>
        <w:t>локалне</w:t>
      </w:r>
      <w:r>
        <w:rPr>
          <w:rFonts w:ascii="Tahoma" w:eastAsia="Tahoma" w:hAnsi="Tahoma" w:cs="Tahoma"/>
          <w:sz w:val="20"/>
          <w:szCs w:val="20"/>
        </w:rPr>
        <w:t xml:space="preserve"> самоуправе, као и </w:t>
      </w:r>
      <w:r w:rsidR="7126B7C0" w:rsidRPr="7F9E3183">
        <w:rPr>
          <w:rFonts w:ascii="Tahoma" w:eastAsia="Tahoma" w:hAnsi="Tahoma" w:cs="Tahoma"/>
          <w:sz w:val="20"/>
          <w:szCs w:val="20"/>
        </w:rPr>
        <w:t>локалне</w:t>
      </w:r>
      <w:r>
        <w:rPr>
          <w:rFonts w:ascii="Tahoma" w:eastAsia="Tahoma" w:hAnsi="Tahoma" w:cs="Tahoma"/>
          <w:sz w:val="20"/>
          <w:szCs w:val="20"/>
        </w:rPr>
        <w:t xml:space="preserve"> самоуправе чије пријаве не буду одабране, биће писаним путем обавештени о резултатима конкурса, на адресу електронске поште контакт особе ЛС, наведене у пријавном формулару, у року од 10 дана од доношења коначне одлуке о одабиру.  </w:t>
      </w:r>
    </w:p>
    <w:sdt>
      <w:sdtPr>
        <w:tag w:val="goog_rdk_16"/>
        <w:id w:val="1620187790"/>
      </w:sdtPr>
      <w:sdtEndPr/>
      <w:sdtContent>
        <w:p w14:paraId="4C49FA74" w14:textId="77777777" w:rsidR="00D76B7D" w:rsidRPr="002A6061" w:rsidRDefault="00517410" w:rsidP="002A6061">
          <w:r>
            <w:br w:type="page"/>
          </w:r>
        </w:p>
      </w:sdtContent>
    </w:sdt>
    <w:p w14:paraId="4C49FA75" w14:textId="77777777" w:rsidR="00D76B7D" w:rsidRDefault="005174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lastRenderedPageBreak/>
        <w:t>ПРОЦЕС УСАГЛАШАВАЊА И ПОТПИСИВАЊЕ МЕМОРАНДУМА О САРАДЊИ</w:t>
      </w:r>
    </w:p>
    <w:p w14:paraId="4C49FA76" w14:textId="68C6FBE0" w:rsidR="00D76B7D" w:rsidRDefault="0051741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Подносиоци пријава </w:t>
      </w:r>
      <w:r w:rsidR="00864B06">
        <w:rPr>
          <w:rFonts w:ascii="Tahoma" w:eastAsia="Tahoma" w:hAnsi="Tahoma" w:cs="Tahoma"/>
          <w:sz w:val="20"/>
          <w:szCs w:val="20"/>
          <w:lang w:val="sr-Cyrl-RS"/>
        </w:rPr>
        <w:t>које буду одабране ће</w:t>
      </w:r>
      <w:r>
        <w:rPr>
          <w:rFonts w:ascii="Tahoma" w:eastAsia="Tahoma" w:hAnsi="Tahoma" w:cs="Tahoma"/>
          <w:sz w:val="20"/>
          <w:szCs w:val="20"/>
        </w:rPr>
        <w:t>, пре потписивања меморандума о сарадњи са СКГО, уз подршку Пројектног тима приступити усаглашавању својих специфичних потреба са стандардизованим Пакетом подршке који им је додељен (у циљу коначног дефинисања приоритетне врсте и обима експертске подршке која ће им бити додељена). Планирани период процеса усаглашавања је до 30 календарских дана.</w:t>
      </w:r>
    </w:p>
    <w:p w14:paraId="4C49FA77" w14:textId="7D662DC0" w:rsidR="00D76B7D" w:rsidRDefault="065ADE59">
      <w:pPr>
        <w:rPr>
          <w:rFonts w:ascii="Tahoma" w:eastAsia="Tahoma" w:hAnsi="Tahoma" w:cs="Tahoma"/>
          <w:sz w:val="20"/>
          <w:szCs w:val="20"/>
        </w:rPr>
      </w:pPr>
      <w:r w:rsidRPr="7F9E3183">
        <w:rPr>
          <w:rFonts w:ascii="Tahoma" w:eastAsia="Tahoma" w:hAnsi="Tahoma" w:cs="Tahoma"/>
          <w:sz w:val="20"/>
          <w:szCs w:val="20"/>
        </w:rPr>
        <w:t>Активности</w:t>
      </w:r>
      <w:r w:rsidR="00517410">
        <w:rPr>
          <w:rFonts w:ascii="Tahoma" w:eastAsia="Tahoma" w:hAnsi="Tahoma" w:cs="Tahoma"/>
          <w:sz w:val="20"/>
          <w:szCs w:val="20"/>
        </w:rPr>
        <w:t xml:space="preserve"> на спровођењу пакета почеће одмах по потписивању Меморандума о сарадњи.</w:t>
      </w:r>
    </w:p>
    <w:p w14:paraId="4C49FA78" w14:textId="77777777" w:rsidR="00D76B7D" w:rsidRDefault="00D76B7D">
      <w:pPr>
        <w:rPr>
          <w:rFonts w:ascii="Tahoma" w:eastAsia="Tahoma" w:hAnsi="Tahoma" w:cs="Tahoma"/>
          <w:sz w:val="20"/>
          <w:szCs w:val="20"/>
        </w:rPr>
      </w:pPr>
    </w:p>
    <w:p w14:paraId="4C49FA79" w14:textId="77777777" w:rsidR="00D76B7D" w:rsidRDefault="00D76B7D">
      <w:pPr>
        <w:rPr>
          <w:sz w:val="20"/>
          <w:szCs w:val="20"/>
        </w:rPr>
      </w:pPr>
    </w:p>
    <w:sectPr w:rsidR="00D76B7D">
      <w:headerReference w:type="default" r:id="rId9"/>
      <w:footerReference w:type="default" r:id="rId10"/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13C3" w14:textId="77777777" w:rsidR="00FE7755" w:rsidRDefault="00FE7755">
      <w:pPr>
        <w:spacing w:after="0" w:line="240" w:lineRule="auto"/>
      </w:pPr>
      <w:r>
        <w:separator/>
      </w:r>
    </w:p>
  </w:endnote>
  <w:endnote w:type="continuationSeparator" w:id="0">
    <w:p w14:paraId="32CD4734" w14:textId="77777777" w:rsidR="00FE7755" w:rsidRDefault="00FE7755">
      <w:pPr>
        <w:spacing w:after="0" w:line="240" w:lineRule="auto"/>
      </w:pPr>
      <w:r>
        <w:continuationSeparator/>
      </w:r>
    </w:p>
  </w:endnote>
  <w:endnote w:type="continuationNotice" w:id="1">
    <w:p w14:paraId="6BE5C71C" w14:textId="77777777" w:rsidR="00FE7755" w:rsidRDefault="00FE77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FA7F" w14:textId="77777777" w:rsidR="00D76B7D" w:rsidRDefault="0051741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  <w:r>
      <w:rPr>
        <w:noProof/>
      </w:rPr>
      <w:drawing>
        <wp:anchor distT="360045" distB="0" distL="114300" distR="114300" simplePos="0" relativeHeight="251658242" behindDoc="0" locked="0" layoutInCell="1" hidden="0" allowOverlap="1" wp14:anchorId="4C49FA84" wp14:editId="4C49FA85">
          <wp:simplePos x="0" y="0"/>
          <wp:positionH relativeFrom="column">
            <wp:posOffset>-304799</wp:posOffset>
          </wp:positionH>
          <wp:positionV relativeFrom="paragraph">
            <wp:posOffset>360045</wp:posOffset>
          </wp:positionV>
          <wp:extent cx="6334125" cy="693420"/>
          <wp:effectExtent l="0" t="0" r="0" b="0"/>
          <wp:wrapSquare wrapText="bothSides" distT="360045" distB="0" distL="114300" distR="114300"/>
          <wp:docPr id="1845573455" name="Picture 18455734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4125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694E1" w14:textId="77777777" w:rsidR="00FE7755" w:rsidRDefault="00FE7755">
      <w:pPr>
        <w:spacing w:after="0" w:line="240" w:lineRule="auto"/>
      </w:pPr>
      <w:r>
        <w:separator/>
      </w:r>
    </w:p>
  </w:footnote>
  <w:footnote w:type="continuationSeparator" w:id="0">
    <w:p w14:paraId="5B0A2F2E" w14:textId="77777777" w:rsidR="00FE7755" w:rsidRDefault="00FE7755">
      <w:pPr>
        <w:spacing w:after="0" w:line="240" w:lineRule="auto"/>
      </w:pPr>
      <w:r>
        <w:continuationSeparator/>
      </w:r>
    </w:p>
  </w:footnote>
  <w:footnote w:type="continuationNotice" w:id="1">
    <w:p w14:paraId="718CD05F" w14:textId="77777777" w:rsidR="00FE7755" w:rsidRDefault="00FE7755">
      <w:pPr>
        <w:spacing w:after="0" w:line="240" w:lineRule="auto"/>
      </w:pPr>
    </w:p>
  </w:footnote>
  <w:footnote w:id="2">
    <w:p w14:paraId="4C49FA86" w14:textId="5AF614C9" w:rsidR="00D76B7D" w:rsidRDefault="00517410">
      <w:pPr>
        <w:pBdr>
          <w:top w:val="nil"/>
          <w:left w:val="nil"/>
          <w:bottom w:val="nil"/>
          <w:right w:val="nil"/>
          <w:between w:val="nil"/>
        </w:pBdr>
        <w:spacing w:before="60" w:after="120" w:line="264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16"/>
          <w:szCs w:val="16"/>
        </w:rPr>
        <w:t>Наведене локалне самоуправе: (а) су предметни пакет подршке већ спроводиле у оквиру СКГО пројекта „Унапређење административне ефикасности и делотворности на локалном нивоу“ (2017-2020), пројекта „Унапређење доброг урављања на локалном ниову“ (2019-2022) и пројекта „Унапређење квалитета и ефикасности у пружању услуга на локалном нив</w:t>
      </w:r>
      <w:r w:rsidR="008375BF">
        <w:rPr>
          <w:rFonts w:ascii="Tahoma" w:eastAsia="Tahoma" w:hAnsi="Tahoma" w:cs="Tahoma"/>
          <w:color w:val="000000"/>
          <w:sz w:val="16"/>
          <w:szCs w:val="16"/>
          <w:lang w:val="sr-Cyrl-RS"/>
        </w:rPr>
        <w:t>о</w:t>
      </w:r>
      <w:r>
        <w:rPr>
          <w:rFonts w:ascii="Tahoma" w:eastAsia="Tahoma" w:hAnsi="Tahoma" w:cs="Tahoma"/>
          <w:color w:val="000000"/>
          <w:sz w:val="16"/>
          <w:szCs w:val="16"/>
        </w:rPr>
        <w:t>у“ (2022-2023) и (б) нису обухваћене овим позивом.</w:t>
      </w:r>
    </w:p>
  </w:footnote>
  <w:footnote w:id="3">
    <w:p w14:paraId="4C49FA87" w14:textId="77777777" w:rsidR="00D76B7D" w:rsidRDefault="00517410">
      <w:pPr>
        <w:pBdr>
          <w:top w:val="nil"/>
          <w:left w:val="nil"/>
          <w:bottom w:val="nil"/>
          <w:right w:val="nil"/>
          <w:between w:val="nil"/>
        </w:pBdr>
        <w:spacing w:before="60" w:after="120" w:line="264" w:lineRule="auto"/>
        <w:jc w:val="both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000000"/>
          <w:sz w:val="16"/>
          <w:szCs w:val="16"/>
        </w:rPr>
        <w:t>Ови пакети се такође спроводе у оквиру пројекта „Унапређење примене принципа доброг управљања у локалним самоуправама“ који спроводи СКГО у оквиру програма „</w:t>
      </w:r>
      <w:r>
        <w:rPr>
          <w:rFonts w:ascii="Tahoma" w:eastAsia="Tahoma" w:hAnsi="Tahoma" w:cs="Tahoma"/>
          <w:b/>
          <w:color w:val="000000"/>
          <w:sz w:val="16"/>
          <w:szCs w:val="16"/>
        </w:rPr>
        <w:t>ПРО - Локално управљање за људе и природу“</w:t>
      </w:r>
      <w:r>
        <w:rPr>
          <w:rFonts w:ascii="Tahoma" w:eastAsia="Tahoma" w:hAnsi="Tahoma" w:cs="Tahoma"/>
          <w:color w:val="000000"/>
          <w:sz w:val="16"/>
          <w:szCs w:val="16"/>
        </w:rPr>
        <w:t>, који заједнички спроводе агенције Уједињених нација у Србији - УНОПС, УНИЦЕФ, УНФПА и УНЕП, у сарадњи са Владом Републике Србије и уз финансијску подршку Владе Швајцарске.</w:t>
      </w:r>
    </w:p>
    <w:p w14:paraId="4C49FA88" w14:textId="77777777" w:rsidR="00D76B7D" w:rsidRDefault="00D76B7D">
      <w:pPr>
        <w:pBdr>
          <w:top w:val="nil"/>
          <w:left w:val="nil"/>
          <w:bottom w:val="nil"/>
          <w:right w:val="nil"/>
          <w:between w:val="nil"/>
        </w:pBdr>
        <w:spacing w:before="60" w:after="120" w:line="264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</w:footnote>
  <w:footnote w:id="4">
    <w:p w14:paraId="4C49FA89" w14:textId="77F7734E" w:rsidR="00D76B7D" w:rsidRDefault="00517410">
      <w:pPr>
        <w:pBdr>
          <w:top w:val="nil"/>
          <w:left w:val="nil"/>
          <w:bottom w:val="nil"/>
          <w:right w:val="nil"/>
          <w:between w:val="nil"/>
        </w:pBdr>
        <w:spacing w:before="60" w:after="120" w:line="264" w:lineRule="auto"/>
        <w:jc w:val="both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Style w:val="FootnoteReference"/>
        </w:rPr>
        <w:footnoteRef/>
      </w:r>
      <w:r w:rsidRPr="00294491"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  <w:hyperlink r:id="rId1" w:history="1">
        <w:r w:rsidR="00294491" w:rsidRPr="00294491">
          <w:rPr>
            <w:rStyle w:val="Hyperlink"/>
            <w:rFonts w:ascii="Tahoma" w:hAnsi="Tahoma" w:cs="Tahoma"/>
            <w:sz w:val="16"/>
            <w:szCs w:val="16"/>
          </w:rPr>
          <w:t>http://skgo.org/konkursi/detaljno/361/javni-poziv-za-dodelu-paketa-podrske-lokalnim-samoupravama-za-unapredjenje-principa-dobrog-upravljanja-na-lokalnom-nivou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FA7D" w14:textId="77777777" w:rsidR="00D76B7D" w:rsidRDefault="0051741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  <w:r>
      <w:rPr>
        <w:rFonts w:ascii="Arial" w:eastAsia="Arial" w:hAnsi="Arial" w:cs="Arial"/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4C49FA80" wp14:editId="4C49FA81">
          <wp:simplePos x="0" y="0"/>
          <wp:positionH relativeFrom="page">
            <wp:posOffset>899795</wp:posOffset>
          </wp:positionH>
          <wp:positionV relativeFrom="page">
            <wp:posOffset>628650</wp:posOffset>
          </wp:positionV>
          <wp:extent cx="3790315" cy="422275"/>
          <wp:effectExtent l="0" t="0" r="0" b="0"/>
          <wp:wrapTopAndBottom distT="0" distB="0"/>
          <wp:docPr id="1845573454" name="Picture 18455734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90315" cy="422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4C49FA82" wp14:editId="4C49FA83">
          <wp:simplePos x="0" y="0"/>
          <wp:positionH relativeFrom="column">
            <wp:posOffset>4637310</wp:posOffset>
          </wp:positionH>
          <wp:positionV relativeFrom="paragraph">
            <wp:posOffset>190500</wp:posOffset>
          </wp:positionV>
          <wp:extent cx="1123410" cy="416872"/>
          <wp:effectExtent l="0" t="0" r="0" b="0"/>
          <wp:wrapNone/>
          <wp:docPr id="1845573456" name="Picture 1845573456" descr="A white background with red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white background with red tex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3410" cy="4168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49FA7E" w14:textId="77777777" w:rsidR="00D76B7D" w:rsidRDefault="00D76B7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OQt3+ngJ+7DSd" int2:id="1wYRFvh5">
      <int2:state int2:value="Rejected" int2:type="AugLoop_Text_Critique"/>
    </int2:textHash>
    <int2:textHash int2:hashCode="0jzTzisaG9QIL6" int2:id="DJWhfJxO">
      <int2:state int2:value="Rejected" int2:type="AugLoop_Text_Critique"/>
    </int2:textHash>
    <int2:textHash int2:hashCode="8+HwjJC5jwwtt6" int2:id="V3b6pVaM">
      <int2:state int2:value="Rejected" int2:type="AugLoop_Text_Critique"/>
    </int2:textHash>
    <int2:textHash int2:hashCode="bjWPBYhiTl+d9v" int2:id="Z1ZKsNb2">
      <int2:state int2:value="Rejected" int2:type="AugLoop_Text_Critique"/>
    </int2:textHash>
    <int2:textHash int2:hashCode="gQkuGhwukhfkMU" int2:id="bthE36NC">
      <int2:state int2:value="Rejected" int2:type="AugLoop_Text_Critique"/>
    </int2:textHash>
    <int2:textHash int2:hashCode="/E0PbgFNNRDJDF" int2:id="tpLQjIta">
      <int2:state int2:value="Rejected" int2:type="AugLoop_Text_Critique"/>
    </int2:textHash>
    <int2:textHash int2:hashCode="F4OZ68jfCTrC7r" int2:id="wr18IkK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767C2"/>
    <w:multiLevelType w:val="multilevel"/>
    <w:tmpl w:val="970417DC"/>
    <w:lvl w:ilvl="0">
      <w:start w:val="1"/>
      <w:numFmt w:val="decimal"/>
      <w:lvlText w:val="%1."/>
      <w:lvlJc w:val="left"/>
      <w:pPr>
        <w:ind w:left="405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65" w:hanging="720"/>
      </w:pPr>
    </w:lvl>
    <w:lvl w:ilvl="2">
      <w:start w:val="1"/>
      <w:numFmt w:val="decimal"/>
      <w:lvlText w:val="%1.%2.%3."/>
      <w:lvlJc w:val="left"/>
      <w:pPr>
        <w:ind w:left="765" w:hanging="720"/>
      </w:pPr>
    </w:lvl>
    <w:lvl w:ilvl="3">
      <w:start w:val="1"/>
      <w:numFmt w:val="decimal"/>
      <w:lvlText w:val="%1.%2.%3.%4."/>
      <w:lvlJc w:val="left"/>
      <w:pPr>
        <w:ind w:left="1125" w:hanging="1080"/>
      </w:pPr>
    </w:lvl>
    <w:lvl w:ilvl="4">
      <w:start w:val="1"/>
      <w:numFmt w:val="decimal"/>
      <w:lvlText w:val="%1.%2.%3.%4.%5."/>
      <w:lvlJc w:val="left"/>
      <w:pPr>
        <w:ind w:left="1125" w:hanging="1080"/>
      </w:pPr>
    </w:lvl>
    <w:lvl w:ilvl="5">
      <w:start w:val="1"/>
      <w:numFmt w:val="decimal"/>
      <w:lvlText w:val="%1.%2.%3.%4.%5.%6."/>
      <w:lvlJc w:val="left"/>
      <w:pPr>
        <w:ind w:left="1485" w:hanging="1440"/>
      </w:pPr>
    </w:lvl>
    <w:lvl w:ilvl="6">
      <w:start w:val="1"/>
      <w:numFmt w:val="decimal"/>
      <w:lvlText w:val="%1.%2.%3.%4.%5.%6.%7."/>
      <w:lvlJc w:val="left"/>
      <w:pPr>
        <w:ind w:left="1845" w:hanging="1800"/>
      </w:pPr>
    </w:lvl>
    <w:lvl w:ilvl="7">
      <w:start w:val="1"/>
      <w:numFmt w:val="decimal"/>
      <w:lvlText w:val="%1.%2.%3.%4.%5.%6.%7.%8."/>
      <w:lvlJc w:val="left"/>
      <w:pPr>
        <w:ind w:left="1845" w:hanging="1800"/>
      </w:pPr>
    </w:lvl>
    <w:lvl w:ilvl="8">
      <w:start w:val="1"/>
      <w:numFmt w:val="decimal"/>
      <w:lvlText w:val="%1.%2.%3.%4.%5.%6.%7.%8.%9."/>
      <w:lvlJc w:val="left"/>
      <w:pPr>
        <w:ind w:left="2205" w:hanging="2160"/>
      </w:pPr>
    </w:lvl>
  </w:abstractNum>
  <w:abstractNum w:abstractNumId="1" w15:restartNumberingAfterBreak="0">
    <w:nsid w:val="15906420"/>
    <w:multiLevelType w:val="multilevel"/>
    <w:tmpl w:val="C888B6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7A53E5"/>
    <w:multiLevelType w:val="multilevel"/>
    <w:tmpl w:val="9DCE9844"/>
    <w:lvl w:ilvl="0">
      <w:start w:val="3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050806"/>
    <w:multiLevelType w:val="multilevel"/>
    <w:tmpl w:val="F11426D6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b/>
        <w:color w:val="000000"/>
      </w:r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5D025234"/>
    <w:multiLevelType w:val="multilevel"/>
    <w:tmpl w:val="CB900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76597828"/>
    <w:multiLevelType w:val="multilevel"/>
    <w:tmpl w:val="C6E4B310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18816277">
    <w:abstractNumId w:val="3"/>
  </w:num>
  <w:num w:numId="2" w16cid:durableId="857546077">
    <w:abstractNumId w:val="5"/>
  </w:num>
  <w:num w:numId="3" w16cid:durableId="828181365">
    <w:abstractNumId w:val="0"/>
  </w:num>
  <w:num w:numId="4" w16cid:durableId="786579314">
    <w:abstractNumId w:val="1"/>
  </w:num>
  <w:num w:numId="5" w16cid:durableId="1439639434">
    <w:abstractNumId w:val="4"/>
  </w:num>
  <w:num w:numId="6" w16cid:durableId="400326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7D"/>
    <w:rsid w:val="00044EB2"/>
    <w:rsid w:val="00075E93"/>
    <w:rsid w:val="00077C82"/>
    <w:rsid w:val="00097AF9"/>
    <w:rsid w:val="000C7759"/>
    <w:rsid w:val="000F6985"/>
    <w:rsid w:val="00120C96"/>
    <w:rsid w:val="0017354F"/>
    <w:rsid w:val="001A1C90"/>
    <w:rsid w:val="001D075C"/>
    <w:rsid w:val="002702BD"/>
    <w:rsid w:val="00294491"/>
    <w:rsid w:val="002A6061"/>
    <w:rsid w:val="00315001"/>
    <w:rsid w:val="00345A53"/>
    <w:rsid w:val="003E6D33"/>
    <w:rsid w:val="004E0BDA"/>
    <w:rsid w:val="00517410"/>
    <w:rsid w:val="00546499"/>
    <w:rsid w:val="00551CCB"/>
    <w:rsid w:val="0055253D"/>
    <w:rsid w:val="005569BB"/>
    <w:rsid w:val="00590E32"/>
    <w:rsid w:val="006715A2"/>
    <w:rsid w:val="00683B45"/>
    <w:rsid w:val="006A1819"/>
    <w:rsid w:val="006A41CE"/>
    <w:rsid w:val="006B6E5A"/>
    <w:rsid w:val="0070111C"/>
    <w:rsid w:val="007464BE"/>
    <w:rsid w:val="007655E2"/>
    <w:rsid w:val="00791277"/>
    <w:rsid w:val="007B49BC"/>
    <w:rsid w:val="008375BF"/>
    <w:rsid w:val="008407CC"/>
    <w:rsid w:val="0084400E"/>
    <w:rsid w:val="00864B06"/>
    <w:rsid w:val="00921029"/>
    <w:rsid w:val="00993107"/>
    <w:rsid w:val="00A141B1"/>
    <w:rsid w:val="00A21599"/>
    <w:rsid w:val="00A87FC2"/>
    <w:rsid w:val="00BE585D"/>
    <w:rsid w:val="00C55935"/>
    <w:rsid w:val="00C67518"/>
    <w:rsid w:val="00C755F2"/>
    <w:rsid w:val="00C82B7F"/>
    <w:rsid w:val="00C837E8"/>
    <w:rsid w:val="00C95B17"/>
    <w:rsid w:val="00CD1878"/>
    <w:rsid w:val="00CF00B9"/>
    <w:rsid w:val="00D12BF7"/>
    <w:rsid w:val="00D76B7D"/>
    <w:rsid w:val="00DE5964"/>
    <w:rsid w:val="00E12AA3"/>
    <w:rsid w:val="00E21B32"/>
    <w:rsid w:val="00F07793"/>
    <w:rsid w:val="00F10543"/>
    <w:rsid w:val="00F212D1"/>
    <w:rsid w:val="00F62835"/>
    <w:rsid w:val="00FA69AF"/>
    <w:rsid w:val="00FB1088"/>
    <w:rsid w:val="00FC5DFD"/>
    <w:rsid w:val="00FE7755"/>
    <w:rsid w:val="018952F5"/>
    <w:rsid w:val="065ADE59"/>
    <w:rsid w:val="1A97765A"/>
    <w:rsid w:val="1B5B4608"/>
    <w:rsid w:val="240F6A50"/>
    <w:rsid w:val="33E63608"/>
    <w:rsid w:val="348C94A0"/>
    <w:rsid w:val="39F88730"/>
    <w:rsid w:val="43CB0C58"/>
    <w:rsid w:val="46336B4F"/>
    <w:rsid w:val="46977F3D"/>
    <w:rsid w:val="485B7364"/>
    <w:rsid w:val="520A7B41"/>
    <w:rsid w:val="55F0C808"/>
    <w:rsid w:val="56CB109B"/>
    <w:rsid w:val="5D6018C7"/>
    <w:rsid w:val="5E832448"/>
    <w:rsid w:val="63C49051"/>
    <w:rsid w:val="65855631"/>
    <w:rsid w:val="6802654A"/>
    <w:rsid w:val="689928B4"/>
    <w:rsid w:val="7126B7C0"/>
    <w:rsid w:val="7698EDD4"/>
    <w:rsid w:val="7912CEA6"/>
    <w:rsid w:val="7BE37F3F"/>
    <w:rsid w:val="7E1FE15F"/>
    <w:rsid w:val="7F9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9F9F0"/>
  <w15:docId w15:val="{EB70048F-F5E9-4608-815E-473156A3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r-Cyrl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B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F2 Body Text"/>
    <w:basedOn w:val="Normal"/>
    <w:link w:val="BodyTextChar"/>
    <w:rsid w:val="00FB24A3"/>
    <w:pPr>
      <w:spacing w:before="120" w:after="120" w:line="264" w:lineRule="auto"/>
      <w:ind w:left="907"/>
      <w:jc w:val="both"/>
    </w:pPr>
    <w:rPr>
      <w:rFonts w:ascii="Arial" w:hAnsi="Arial" w:cs="Times New Roman"/>
      <w:sz w:val="20"/>
      <w:szCs w:val="20"/>
      <w:lang w:val="en-GB" w:eastAsia="x-none"/>
    </w:rPr>
  </w:style>
  <w:style w:type="character" w:customStyle="1" w:styleId="BodyTextChar">
    <w:name w:val="Body Text Char"/>
    <w:aliases w:val="F2 Body Text Char"/>
    <w:basedOn w:val="DefaultParagraphFont"/>
    <w:link w:val="BodyText"/>
    <w:rsid w:val="00FB24A3"/>
    <w:rPr>
      <w:rFonts w:ascii="Arial" w:eastAsia="Calibri" w:hAnsi="Arial" w:cs="Times New Roman"/>
      <w:kern w:val="0"/>
      <w:sz w:val="20"/>
      <w:szCs w:val="20"/>
      <w:lang w:val="en-GB" w:eastAsia="x-none"/>
    </w:rPr>
  </w:style>
  <w:style w:type="paragraph" w:customStyle="1" w:styleId="MediumGrid1-Accent21">
    <w:name w:val="Medium Grid 1 - Accent 21"/>
    <w:basedOn w:val="Normal"/>
    <w:link w:val="MediumGrid1-Accent2Char"/>
    <w:qFormat/>
    <w:rsid w:val="00FB24A3"/>
    <w:pPr>
      <w:spacing w:before="60" w:after="120" w:line="264" w:lineRule="auto"/>
      <w:ind w:left="720"/>
      <w:jc w:val="both"/>
    </w:pPr>
    <w:rPr>
      <w:rFonts w:ascii="Arial" w:hAnsi="Arial" w:cs="Times New Roman"/>
      <w:sz w:val="20"/>
      <w:szCs w:val="20"/>
      <w:lang w:val="en-GB" w:eastAsia="x-none"/>
    </w:rPr>
  </w:style>
  <w:style w:type="character" w:styleId="Hyperlink">
    <w:name w:val="Hyperlink"/>
    <w:rsid w:val="00FB24A3"/>
    <w:rPr>
      <w:rFonts w:cs="Times New Roman"/>
      <w:color w:val="0000FF"/>
      <w:u w:val="single"/>
    </w:rPr>
  </w:style>
  <w:style w:type="character" w:customStyle="1" w:styleId="MediumGrid1-Accent2Char">
    <w:name w:val="Medium Grid 1 - Accent 2 Char"/>
    <w:link w:val="MediumGrid1-Accent21"/>
    <w:locked/>
    <w:rsid w:val="00FB24A3"/>
    <w:rPr>
      <w:rFonts w:ascii="Arial" w:eastAsia="Calibri" w:hAnsi="Arial" w:cs="Times New Roman"/>
      <w:kern w:val="0"/>
      <w:sz w:val="20"/>
      <w:szCs w:val="20"/>
      <w:lang w:val="en-GB" w:eastAsia="x-none"/>
    </w:rPr>
  </w:style>
  <w:style w:type="character" w:styleId="CommentReference">
    <w:name w:val="annotation reference"/>
    <w:rsid w:val="00FB2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24A3"/>
    <w:pPr>
      <w:spacing w:before="60"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FB24A3"/>
    <w:rPr>
      <w:rFonts w:ascii="Arial" w:eastAsia="Times New Roman" w:hAnsi="Arial" w:cs="Times New Roman"/>
      <w:kern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rsid w:val="00FB24A3"/>
    <w:pPr>
      <w:spacing w:before="60"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FB24A3"/>
    <w:rPr>
      <w:rFonts w:ascii="Arial" w:eastAsia="Times New Roman" w:hAnsi="Arial" w:cs="Times New Roman"/>
      <w:kern w:val="0"/>
      <w:sz w:val="20"/>
      <w:szCs w:val="20"/>
      <w:lang w:val="en-GB"/>
    </w:rPr>
  </w:style>
  <w:style w:type="character" w:styleId="FootnoteReference">
    <w:name w:val="footnote reference"/>
    <w:rsid w:val="00FB24A3"/>
    <w:rPr>
      <w:vertAlign w:val="superscript"/>
    </w:rPr>
  </w:style>
  <w:style w:type="paragraph" w:styleId="ListParagraph">
    <w:name w:val="List Paragraph"/>
    <w:basedOn w:val="Normal"/>
    <w:uiPriority w:val="34"/>
    <w:qFormat/>
    <w:rsid w:val="00FB24A3"/>
    <w:pPr>
      <w:spacing w:before="60" w:after="120" w:line="264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paragraph">
    <w:name w:val="paragraph"/>
    <w:basedOn w:val="Normal"/>
    <w:rsid w:val="00FB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normaltextrun">
    <w:name w:val="normaltextrun"/>
    <w:basedOn w:val="DefaultParagraphFont"/>
    <w:rsid w:val="00FB24A3"/>
  </w:style>
  <w:style w:type="character" w:customStyle="1" w:styleId="eop">
    <w:name w:val="eop"/>
    <w:basedOn w:val="DefaultParagraphFont"/>
    <w:rsid w:val="00FB24A3"/>
  </w:style>
  <w:style w:type="paragraph" w:styleId="Header">
    <w:name w:val="header"/>
    <w:basedOn w:val="Normal"/>
    <w:link w:val="HeaderChar"/>
    <w:uiPriority w:val="99"/>
    <w:unhideWhenUsed/>
    <w:rsid w:val="00F650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0A0"/>
  </w:style>
  <w:style w:type="paragraph" w:styleId="Footer">
    <w:name w:val="footer"/>
    <w:basedOn w:val="Normal"/>
    <w:link w:val="FooterChar"/>
    <w:uiPriority w:val="99"/>
    <w:unhideWhenUsed/>
    <w:rsid w:val="00F650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0A0"/>
  </w:style>
  <w:style w:type="paragraph" w:styleId="Revision">
    <w:name w:val="Revision"/>
    <w:hidden/>
    <w:uiPriority w:val="99"/>
    <w:semiHidden/>
    <w:rsid w:val="000E7A5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A54"/>
    <w:pPr>
      <w:spacing w:before="0" w:after="160" w:line="240" w:lineRule="auto"/>
      <w:jc w:val="left"/>
    </w:pPr>
    <w:rPr>
      <w:rFonts w:asciiTheme="minorHAnsi" w:eastAsiaTheme="minorHAnsi" w:hAnsiTheme="minorHAnsi" w:cstheme="minorBidi"/>
      <w:b/>
      <w:bCs/>
      <w:kern w:val="2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A54"/>
    <w:rPr>
      <w:rFonts w:ascii="Arial" w:eastAsia="Times New Roman" w:hAnsi="Arial" w:cs="Times New Roman"/>
      <w:b/>
      <w:bCs/>
      <w:kern w:val="0"/>
      <w:sz w:val="20"/>
      <w:szCs w:val="20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944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go.org/konkursi/detaljno/361/javni-poziv-za-dodelu-paketa-podrske-lokalnim-samoupravama-za-unapredjenje-principa-dobrog-upravljanja-na-lokalnom-nivo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kgo.org/konkursi/detaljno/361/javni-poziv-za-dodelu-paketa-podrske-lokalnim-samoupravama-za-unapredjenje-principa-dobrog-upravljanja-na-lokalnom-nivo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8D5551C36F499EB140060E30326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98710-5627-4C81-9333-D756604AA03E}"/>
      </w:docPartPr>
      <w:docPartBody>
        <w:p w:rsidR="00FD67EC" w:rsidRDefault="00FD67EC"/>
      </w:docPartBody>
    </w:docPart>
    <w:docPart>
      <w:docPartPr>
        <w:name w:val="8781C8D48F9E416D98C772EFD09ED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B36F0-4711-48FE-B3AF-40C165A042B7}"/>
      </w:docPartPr>
      <w:docPartBody>
        <w:p w:rsidR="00FD67EC" w:rsidRDefault="00FD67E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F2"/>
    <w:rsid w:val="00151BF2"/>
    <w:rsid w:val="007A5010"/>
    <w:rsid w:val="009E655D"/>
    <w:rsid w:val="00FD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Z5Tyc1yaBQRiWAxDZWg9L+K3aw==">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2672</Words>
  <Characters>15233</Characters>
  <Application>Microsoft Office Word</Application>
  <DocSecurity>0</DocSecurity>
  <Lines>126</Lines>
  <Paragraphs>35</Paragraphs>
  <ScaleCrop>false</ScaleCrop>
  <Company/>
  <LinksUpToDate>false</LinksUpToDate>
  <CharactersWithSpaces>17870</CharactersWithSpaces>
  <SharedDoc>false</SharedDoc>
  <HLinks>
    <vt:vector size="12" baseType="variant">
      <vt:variant>
        <vt:i4>458846</vt:i4>
      </vt:variant>
      <vt:variant>
        <vt:i4>0</vt:i4>
      </vt:variant>
      <vt:variant>
        <vt:i4>0</vt:i4>
      </vt:variant>
      <vt:variant>
        <vt:i4>5</vt:i4>
      </vt:variant>
      <vt:variant>
        <vt:lpwstr>http://www.skgo.org/konkursi/detaljno/237/poziv-za-podnosenje-prijava-za-pakete-podrske-u-oblasti-administrativne-efikasnosti-i-antikorupcijskih-politika</vt:lpwstr>
      </vt:variant>
      <vt:variant>
        <vt:lpwstr/>
      </vt:variant>
      <vt:variant>
        <vt:i4>458846</vt:i4>
      </vt:variant>
      <vt:variant>
        <vt:i4>0</vt:i4>
      </vt:variant>
      <vt:variant>
        <vt:i4>0</vt:i4>
      </vt:variant>
      <vt:variant>
        <vt:i4>5</vt:i4>
      </vt:variant>
      <vt:variant>
        <vt:lpwstr>http://www.skgo.org/konkursi/detaljno/237/poziv-za-podnosenje-prijava-za-pakete-podrske-u-oblasti-administrativne-efikasnosti-i-antikorupcijskih-politika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Stojanovic Keric</dc:creator>
  <cp:lastModifiedBy>Maja Stojanovic Keric</cp:lastModifiedBy>
  <cp:revision>2</cp:revision>
  <dcterms:created xsi:type="dcterms:W3CDTF">2023-12-26T08:23:00Z</dcterms:created>
  <dcterms:modified xsi:type="dcterms:W3CDTF">2023-12-26T08:23:00Z</dcterms:modified>
</cp:coreProperties>
</file>