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C010" w14:textId="77777777" w:rsidR="000822A5" w:rsidRDefault="00DD7FD9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123.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Устава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119.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националним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72/09, 20/14 – УС и 55/14),</w:t>
      </w:r>
    </w:p>
    <w:p w14:paraId="1DF11AEE" w14:textId="77777777" w:rsidR="000822A5" w:rsidRDefault="00DD7FD9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14:paraId="45A2CC44" w14:textId="77777777" w:rsidR="000822A5" w:rsidRDefault="00DD7FD9">
      <w:pPr>
        <w:spacing w:after="225"/>
        <w:jc w:val="center"/>
      </w:pPr>
      <w:r>
        <w:rPr>
          <w:b/>
          <w:color w:val="000000"/>
        </w:rPr>
        <w:t> </w:t>
      </w:r>
    </w:p>
    <w:p w14:paraId="11832233" w14:textId="77777777" w:rsidR="000822A5" w:rsidRDefault="00DD7FD9">
      <w:pPr>
        <w:spacing w:after="225"/>
        <w:jc w:val="center"/>
      </w:pPr>
      <w:r>
        <w:rPr>
          <w:b/>
          <w:color w:val="000000"/>
        </w:rPr>
        <w:t>УРЕДБ</w:t>
      </w:r>
      <w:r w:rsidR="004C217F">
        <w:rPr>
          <w:b/>
          <w:color w:val="000000"/>
          <w:lang w:val="sr-Cyrl-RS"/>
        </w:rPr>
        <w:t>А</w:t>
      </w:r>
    </w:p>
    <w:p w14:paraId="6EC3BBAB" w14:textId="77777777" w:rsidR="000822A5" w:rsidRDefault="00DD7FD9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поступку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расподеле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Буџетског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националне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мањине</w:t>
      </w:r>
      <w:proofErr w:type="spellEnd"/>
    </w:p>
    <w:p w14:paraId="6603715A" w14:textId="77777777" w:rsidR="000822A5" w:rsidRDefault="00DD7FD9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2016.</w:t>
      </w:r>
    </w:p>
    <w:p w14:paraId="2D2068A2" w14:textId="77777777" w:rsidR="000822A5" w:rsidRDefault="00DD7FD9">
      <w:pPr>
        <w:spacing w:after="150"/>
        <w:jc w:val="center"/>
      </w:pPr>
      <w:r>
        <w:rPr>
          <w:b/>
          <w:color w:val="000000"/>
        </w:rPr>
        <w:t> </w:t>
      </w:r>
    </w:p>
    <w:p w14:paraId="4F5AC7A6" w14:textId="77777777" w:rsidR="000822A5" w:rsidRDefault="00DD7FD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14:paraId="68A9F901" w14:textId="77777777" w:rsidR="000822A5" w:rsidRDefault="00DD7FD9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расподеле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обавештавања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службене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писама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>).</w:t>
      </w:r>
    </w:p>
    <w:p w14:paraId="5BC28310" w14:textId="77777777" w:rsidR="000822A5" w:rsidRDefault="00DD7FD9">
      <w:pPr>
        <w:spacing w:after="150"/>
      </w:pP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донација</w:t>
      </w:r>
      <w:proofErr w:type="spellEnd"/>
      <w:r>
        <w:rPr>
          <w:color w:val="000000"/>
        </w:rPr>
        <w:t>.</w:t>
      </w:r>
    </w:p>
    <w:p w14:paraId="502AE5A3" w14:textId="77777777" w:rsidR="000822A5" w:rsidRDefault="00DD7FD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14:paraId="18B87C7A" w14:textId="77777777" w:rsidR="000822A5" w:rsidRDefault="00DD7FD9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обавештавања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службене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писама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календарске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додељују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>.</w:t>
      </w:r>
    </w:p>
    <w:p w14:paraId="788C1B20" w14:textId="77777777" w:rsidR="000822A5" w:rsidRDefault="00DD7FD9">
      <w:pPr>
        <w:spacing w:after="150"/>
      </w:pP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циљеве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постижу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висину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додељују</w:t>
      </w:r>
      <w:proofErr w:type="spellEnd"/>
      <w:r>
        <w:rPr>
          <w:color w:val="000000"/>
        </w:rPr>
        <w:t>.</w:t>
      </w:r>
    </w:p>
    <w:p w14:paraId="31F98D6B" w14:textId="77777777" w:rsidR="000822A5" w:rsidRDefault="00DD7FD9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14:paraId="4DB2FFD6" w14:textId="77777777" w:rsidR="000822A5" w:rsidRDefault="00DD7FD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14:paraId="670D96E5" w14:textId="77777777" w:rsidR="000822A5" w:rsidRDefault="00DD7FD9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конкурсом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конкурс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оглашава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Канцеларије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људска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мањинска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Канцеларије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цивилним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Порталу</w:t>
      </w:r>
      <w:proofErr w:type="spellEnd"/>
      <w:r>
        <w:rPr>
          <w:color w:val="000000"/>
        </w:rPr>
        <w:t xml:space="preserve"> е-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>.</w:t>
      </w:r>
    </w:p>
    <w:p w14:paraId="0F62CD73" w14:textId="77777777" w:rsidR="000822A5" w:rsidRDefault="00DD7FD9">
      <w:pPr>
        <w:spacing w:after="150"/>
      </w:pPr>
      <w:proofErr w:type="spellStart"/>
      <w:r>
        <w:rPr>
          <w:color w:val="000000"/>
        </w:rPr>
        <w:t>Оглас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циљеве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област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расписује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култура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образовање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обавештавање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службена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писама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мањина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висину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додељују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ближа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мерила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конкурса</w:t>
      </w:r>
      <w:proofErr w:type="spellEnd"/>
      <w:r>
        <w:rPr>
          <w:color w:val="000000"/>
        </w:rPr>
        <w:t>.</w:t>
      </w:r>
    </w:p>
    <w:p w14:paraId="5C706AB9" w14:textId="77777777" w:rsidR="000822A5" w:rsidRDefault="00DD7FD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ближа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мерила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консултације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мањина</w:t>
      </w:r>
      <w:proofErr w:type="spellEnd"/>
      <w:r>
        <w:rPr>
          <w:color w:val="000000"/>
        </w:rPr>
        <w:t>.</w:t>
      </w:r>
    </w:p>
    <w:p w14:paraId="5FBB3304" w14:textId="77777777" w:rsidR="000822A5" w:rsidRDefault="00DD7FD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14:paraId="2BA10B4D" w14:textId="77777777" w:rsidR="000822A5" w:rsidRDefault="00DD7FD9">
      <w:pPr>
        <w:spacing w:after="150"/>
      </w:pP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удружења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фондације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цивилног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одговарајући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статутарним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остварују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унапређења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положаја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задужбине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фондације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конференције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универзитета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академија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учесник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конкурса</w:t>
      </w:r>
      <w:proofErr w:type="spellEnd"/>
      <w:r>
        <w:rPr>
          <w:color w:val="000000"/>
        </w:rPr>
        <w:t>).</w:t>
      </w:r>
    </w:p>
    <w:p w14:paraId="5C3B638F" w14:textId="77777777" w:rsidR="000822A5" w:rsidRDefault="00DD7FD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14:paraId="6D6755F0" w14:textId="77777777" w:rsidR="000822A5" w:rsidRDefault="00DD7FD9">
      <w:pPr>
        <w:spacing w:after="150"/>
      </w:pP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>).</w:t>
      </w:r>
    </w:p>
    <w:p w14:paraId="3058D518" w14:textId="77777777" w:rsidR="000822A5" w:rsidRDefault="00DD7FD9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Комисију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представника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чијем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делокругу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представника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Канцеларије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људска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мањинска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>.</w:t>
      </w:r>
    </w:p>
    <w:p w14:paraId="5AF3CBC4" w14:textId="77777777" w:rsidR="000822A5" w:rsidRDefault="00DD7FD9">
      <w:pPr>
        <w:spacing w:after="150"/>
      </w:pP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чијем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делокругу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представника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јавности</w:t>
      </w:r>
      <w:proofErr w:type="spellEnd"/>
      <w:r>
        <w:rPr>
          <w:color w:val="000000"/>
        </w:rPr>
        <w:t>.</w:t>
      </w:r>
    </w:p>
    <w:p w14:paraId="55DCF412" w14:textId="77777777" w:rsidR="000822A5" w:rsidRDefault="00DD7FD9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.</w:t>
      </w:r>
    </w:p>
    <w:p w14:paraId="188C3686" w14:textId="77777777" w:rsidR="000822A5" w:rsidRDefault="00DD7FD9">
      <w:pPr>
        <w:spacing w:after="150"/>
      </w:pPr>
      <w:proofErr w:type="spellStart"/>
      <w:r>
        <w:rPr>
          <w:color w:val="000000"/>
        </w:rPr>
        <w:t>Комисију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облашћу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утврђеном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14:paraId="5614804E" w14:textId="77777777" w:rsidR="000822A5" w:rsidRDefault="00DD7FD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>.</w:t>
      </w:r>
    </w:p>
    <w:p w14:paraId="6B8B1111" w14:textId="77777777" w:rsidR="000822A5" w:rsidRDefault="00DD7FD9">
      <w:pPr>
        <w:spacing w:after="150"/>
      </w:pPr>
      <w:proofErr w:type="spellStart"/>
      <w:r>
        <w:rPr>
          <w:color w:val="000000"/>
        </w:rPr>
        <w:t>Административно-техничку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Канцеларија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људска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мањинска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>.</w:t>
      </w:r>
    </w:p>
    <w:p w14:paraId="511AA61F" w14:textId="77777777" w:rsidR="000822A5" w:rsidRDefault="00DD7FD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14:paraId="0663D14D" w14:textId="77777777" w:rsidR="000822A5" w:rsidRDefault="00DD7FD9">
      <w:pPr>
        <w:spacing w:after="150"/>
      </w:pP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>.</w:t>
      </w:r>
    </w:p>
    <w:p w14:paraId="3E6128E0" w14:textId="77777777" w:rsidR="000822A5" w:rsidRDefault="00DD7FD9">
      <w:pPr>
        <w:spacing w:after="150"/>
      </w:pPr>
      <w:proofErr w:type="spellStart"/>
      <w:r>
        <w:rPr>
          <w:color w:val="000000"/>
        </w:rPr>
        <w:lastRenderedPageBreak/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Канцеларије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људска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мањинска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Канцеларије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цивилним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Порталу</w:t>
      </w:r>
      <w:proofErr w:type="spellEnd"/>
      <w:r>
        <w:rPr>
          <w:color w:val="000000"/>
        </w:rPr>
        <w:t xml:space="preserve"> е-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>.</w:t>
      </w:r>
    </w:p>
    <w:p w14:paraId="3069F22B" w14:textId="77777777" w:rsidR="000822A5" w:rsidRDefault="00DD7FD9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опште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подносиоцу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заступнику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капацитету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доказане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прошлости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потребним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писани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наративни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табеларни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постављени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остварени</w:t>
      </w:r>
      <w:proofErr w:type="spellEnd"/>
      <w:r>
        <w:rPr>
          <w:color w:val="000000"/>
        </w:rPr>
        <w:t>.</w:t>
      </w:r>
    </w:p>
    <w:p w14:paraId="6B7C1876" w14:textId="77777777" w:rsidR="000822A5" w:rsidRDefault="00DD7FD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14:paraId="12C35397" w14:textId="77777777" w:rsidR="000822A5" w:rsidRDefault="00DD7FD9">
      <w:pPr>
        <w:spacing w:after="150"/>
      </w:pPr>
      <w:proofErr w:type="spellStart"/>
      <w:r>
        <w:rPr>
          <w:color w:val="000000"/>
        </w:rPr>
        <w:t>Избор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постављених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конкурсном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дужина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развијања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одрживост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намењени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оправданост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14:paraId="6A6A90E9" w14:textId="77777777" w:rsidR="000822A5" w:rsidRDefault="00DD7FD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14:paraId="1546184F" w14:textId="77777777" w:rsidR="000822A5" w:rsidRDefault="00DD7FD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благовремено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приложену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рангирања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>.</w:t>
      </w:r>
    </w:p>
    <w:p w14:paraId="3D1F4420" w14:textId="77777777" w:rsidR="000822A5" w:rsidRDefault="00DD7FD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узети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разматрање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неблаговремене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неправилно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непотпуном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документацијом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недостатке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критеријумима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подносилаца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конкурсу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>.</w:t>
      </w:r>
    </w:p>
    <w:p w14:paraId="738546A7" w14:textId="77777777" w:rsidR="000822A5" w:rsidRDefault="00DD7FD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14:paraId="5AF47C5D" w14:textId="77777777" w:rsidR="000822A5" w:rsidRDefault="00DD7FD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рангирања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>.</w:t>
      </w:r>
    </w:p>
    <w:p w14:paraId="7053D3D3" w14:textId="77777777" w:rsidR="000822A5" w:rsidRDefault="00DD7FD9">
      <w:pPr>
        <w:spacing w:after="150"/>
      </w:pP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Канцеларије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људска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мањинска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Канцеларије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цивилним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Порталу</w:t>
      </w:r>
      <w:proofErr w:type="spellEnd"/>
      <w:r>
        <w:rPr>
          <w:color w:val="000000"/>
        </w:rPr>
        <w:t xml:space="preserve"> е-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>.</w:t>
      </w:r>
    </w:p>
    <w:p w14:paraId="5AF22FE6" w14:textId="77777777" w:rsidR="000822A5" w:rsidRDefault="00DD7FD9">
      <w:pPr>
        <w:spacing w:after="150"/>
      </w:pPr>
      <w:proofErr w:type="spellStart"/>
      <w:r>
        <w:rPr>
          <w:color w:val="000000"/>
        </w:rPr>
        <w:lastRenderedPageBreak/>
        <w:t>Учесници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поднете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приложену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приговора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14:paraId="18247A47" w14:textId="77777777" w:rsidR="000822A5" w:rsidRDefault="00DD7FD9">
      <w:pPr>
        <w:spacing w:after="150"/>
      </w:pP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приговору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>.</w:t>
      </w:r>
    </w:p>
    <w:p w14:paraId="4A73A29A" w14:textId="77777777" w:rsidR="000822A5" w:rsidRDefault="00DD7FD9">
      <w:pPr>
        <w:spacing w:after="150"/>
      </w:pP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расподели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>.</w:t>
      </w:r>
    </w:p>
    <w:p w14:paraId="5131B93F" w14:textId="77777777" w:rsidR="000822A5" w:rsidRDefault="00DD7FD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14:paraId="7B9C94C7" w14:textId="77777777" w:rsidR="000822A5" w:rsidRDefault="00DD7FD9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одобре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конкретног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Mинистарства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>.</w:t>
      </w:r>
    </w:p>
    <w:p w14:paraId="41048FE7" w14:textId="77777777" w:rsidR="000822A5" w:rsidRDefault="00DD7FD9">
      <w:pPr>
        <w:spacing w:after="150"/>
      </w:pP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међусобна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одговорности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страна</w:t>
      </w:r>
      <w:proofErr w:type="spellEnd"/>
      <w:r>
        <w:rPr>
          <w:color w:val="000000"/>
        </w:rPr>
        <w:t>.</w:t>
      </w:r>
    </w:p>
    <w:p w14:paraId="67116343" w14:textId="77777777" w:rsidR="000822A5" w:rsidRDefault="00DD7FD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11.</w:t>
      </w:r>
    </w:p>
    <w:p w14:paraId="2119F315" w14:textId="77777777" w:rsidR="000822A5" w:rsidRDefault="00DD7FD9">
      <w:pPr>
        <w:spacing w:after="150"/>
      </w:pP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наративан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реализацији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утрошеним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>).</w:t>
      </w:r>
    </w:p>
    <w:p w14:paraId="7B8F3C20" w14:textId="77777777" w:rsidR="000822A5" w:rsidRDefault="00DD7FD9">
      <w:pPr>
        <w:spacing w:after="150"/>
      </w:pP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квартално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14:paraId="41028D1D" w14:textId="77777777" w:rsidR="000822A5" w:rsidRDefault="00DD7FD9">
      <w:pPr>
        <w:spacing w:after="150"/>
      </w:pP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реализованом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истакне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финансирању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суфинансирању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учествовало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>.</w:t>
      </w:r>
    </w:p>
    <w:p w14:paraId="19EC642F" w14:textId="77777777" w:rsidR="000822A5" w:rsidRDefault="00DD7FD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12.</w:t>
      </w:r>
    </w:p>
    <w:p w14:paraId="1CCC1FF7" w14:textId="77777777" w:rsidR="000822A5" w:rsidRDefault="00DD7FD9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утрошка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расподељена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14:paraId="5DF305BE" w14:textId="77777777" w:rsidR="000822A5" w:rsidRDefault="00DD7FD9">
      <w:pPr>
        <w:spacing w:after="150"/>
      </w:pP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мишљење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чијем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делокругу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>.</w:t>
      </w:r>
    </w:p>
    <w:p w14:paraId="4F304102" w14:textId="77777777" w:rsidR="000822A5" w:rsidRDefault="00DD7FD9">
      <w:pPr>
        <w:spacing w:after="150"/>
      </w:pP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сваком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тренутку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мишљења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>.</w:t>
      </w:r>
    </w:p>
    <w:p w14:paraId="093AD4A7" w14:textId="77777777" w:rsidR="000822A5" w:rsidRDefault="00DD7FD9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онемогући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ненаменско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раскинути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затезном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каматом</w:t>
      </w:r>
      <w:proofErr w:type="spellEnd"/>
      <w:r>
        <w:rPr>
          <w:color w:val="000000"/>
        </w:rPr>
        <w:t>.</w:t>
      </w:r>
    </w:p>
    <w:p w14:paraId="30FCC5DD" w14:textId="77777777" w:rsidR="000822A5" w:rsidRDefault="00DD7FD9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13.</w:t>
      </w:r>
    </w:p>
    <w:p w14:paraId="6C3F75CA" w14:textId="77777777" w:rsidR="000822A5" w:rsidRDefault="00DD7FD9">
      <w:pPr>
        <w:spacing w:after="150"/>
      </w:pP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ненаменски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>.</w:t>
      </w:r>
    </w:p>
    <w:p w14:paraId="5996C3A9" w14:textId="77777777" w:rsidR="000822A5" w:rsidRDefault="00DD7FD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14.</w:t>
      </w:r>
    </w:p>
    <w:p w14:paraId="07DD1F36" w14:textId="77777777" w:rsidR="000822A5" w:rsidRDefault="00DD7FD9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14:paraId="490314E9" w14:textId="77777777" w:rsidR="000822A5" w:rsidRDefault="00DD7FD9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110-1797/2016-1</w:t>
      </w:r>
    </w:p>
    <w:p w14:paraId="164614A0" w14:textId="77777777" w:rsidR="000822A5" w:rsidRDefault="00DD7FD9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3.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2016. </w:t>
      </w:r>
      <w:proofErr w:type="spellStart"/>
      <w:r>
        <w:rPr>
          <w:color w:val="000000"/>
        </w:rPr>
        <w:t>године</w:t>
      </w:r>
      <w:proofErr w:type="spellEnd"/>
    </w:p>
    <w:p w14:paraId="1991F9C5" w14:textId="77777777" w:rsidR="000822A5" w:rsidRDefault="00DD7FD9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14:paraId="1027C486" w14:textId="77777777" w:rsidR="000822A5" w:rsidRDefault="00DD7FD9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14:paraId="60AB06DE" w14:textId="77777777" w:rsidR="000822A5" w:rsidRDefault="00DD7FD9">
      <w:pPr>
        <w:spacing w:after="150"/>
        <w:jc w:val="right"/>
      </w:pPr>
      <w:proofErr w:type="spellStart"/>
      <w:r>
        <w:rPr>
          <w:b/>
          <w:color w:val="000000"/>
        </w:rPr>
        <w:t>Александар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0822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A5"/>
    <w:rsid w:val="000822A5"/>
    <w:rsid w:val="003309FD"/>
    <w:rsid w:val="004C217F"/>
    <w:rsid w:val="00D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36A4"/>
  <w15:docId w15:val="{A70F2B2C-88A3-4A94-A58F-FEAD03E7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7508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Stošić</dc:creator>
  <cp:lastModifiedBy>Andrea Guduric</cp:lastModifiedBy>
  <cp:revision>2</cp:revision>
  <dcterms:created xsi:type="dcterms:W3CDTF">2021-06-02T12:01:00Z</dcterms:created>
  <dcterms:modified xsi:type="dcterms:W3CDTF">2021-06-02T12:01:00Z</dcterms:modified>
</cp:coreProperties>
</file>