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0B3D1C9C" w:rsidR="003122C0" w:rsidRPr="002A092A" w:rsidRDefault="00880026">
            <w:pPr>
              <w:rPr>
                <w:rFonts w:ascii="Tahoma" w:hAnsi="Tahoma" w:cs="Tahoma"/>
                <w:caps/>
                <w:color w:val="000000" w:themeColor="text1"/>
                <w:sz w:val="18"/>
                <w:szCs w:val="18"/>
                <w:highlight w:val="cyan"/>
              </w:rPr>
            </w:pPr>
            <w:r w:rsidRPr="00CE24A4">
              <w:rPr>
                <w:rFonts w:ascii="Tahoma" w:hAnsi="Tahoma" w:cs="Tahoma"/>
                <w:caps/>
                <w:color w:val="000000" w:themeColor="text1"/>
                <w:sz w:val="18"/>
                <w:szCs w:val="18"/>
              </w:rPr>
              <w:t>4708/2022/73</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880026" w:rsidRDefault="00305B31">
            <w:pPr>
              <w:jc w:val="right"/>
              <w:rPr>
                <w:rFonts w:ascii="Tahoma" w:hAnsi="Tahoma" w:cs="Tahoma"/>
                <w:b/>
                <w:caps/>
                <w:sz w:val="28"/>
                <w:szCs w:val="28"/>
              </w:rPr>
            </w:pPr>
            <w:r w:rsidRPr="00880026">
              <w:rPr>
                <w:rFonts w:ascii="Tahoma" w:hAnsi="Tahoma" w:cs="Tahoma"/>
                <w:sz w:val="18"/>
                <w:szCs w:val="18"/>
              </w:rPr>
              <w:t>Project ID / Sector</w:t>
            </w:r>
            <w:r w:rsidR="003122C0" w:rsidRPr="00880026">
              <w:rPr>
                <w:rFonts w:ascii="Tahoma" w:hAnsi="Tahoma" w:cs="Tahoma"/>
                <w:sz w:val="18"/>
                <w:szCs w:val="18"/>
              </w:rPr>
              <w:t xml:space="preserve"> </w:t>
            </w:r>
            <w:r w:rsidR="003122C0" w:rsidRPr="0088002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F5DB5C8" w:rsidR="003122C0" w:rsidRPr="00880026" w:rsidRDefault="00880026">
            <w:pPr>
              <w:rPr>
                <w:rFonts w:ascii="Tahoma" w:hAnsi="Tahoma" w:cs="Tahoma"/>
                <w:caps/>
                <w:color w:val="000000" w:themeColor="text1"/>
                <w:sz w:val="18"/>
                <w:szCs w:val="18"/>
              </w:rPr>
            </w:pPr>
            <w:r w:rsidRPr="00880026">
              <w:rPr>
                <w:rFonts w:ascii="Tahoma" w:hAnsi="Tahoma" w:cs="Tahoma"/>
                <w:caps/>
                <w:color w:val="000000" w:themeColor="text1"/>
                <w:sz w:val="18"/>
                <w:szCs w:val="18"/>
              </w:rPr>
              <w:t>1330</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8CB8267" w14:textId="77777777" w:rsidR="00880026" w:rsidRPr="00410511" w:rsidRDefault="00880026" w:rsidP="00880026">
            <w:pPr>
              <w:rPr>
                <w:rFonts w:ascii="Tahoma" w:hAnsi="Tahoma" w:cs="Tahoma"/>
                <w:color w:val="000000" w:themeColor="text1"/>
                <w:sz w:val="18"/>
                <w:szCs w:val="18"/>
                <w:lang w:val="it-IT"/>
              </w:rPr>
            </w:pPr>
            <w:r w:rsidRPr="00410511">
              <w:rPr>
                <w:rFonts w:ascii="Tahoma" w:hAnsi="Tahoma" w:cs="Tahoma"/>
                <w:color w:val="000000" w:themeColor="text1"/>
                <w:sz w:val="18"/>
                <w:szCs w:val="18"/>
                <w:lang w:val="it-IT"/>
              </w:rPr>
              <w:t xml:space="preserve">VESNA KAHRIMANOVIC </w:t>
            </w:r>
          </w:p>
          <w:p w14:paraId="72567385" w14:textId="5A6AF4AB" w:rsidR="00880026" w:rsidRPr="00410511" w:rsidRDefault="0069642D" w:rsidP="00880026">
            <w:pPr>
              <w:rPr>
                <w:rFonts w:ascii="Tahoma" w:hAnsi="Tahoma" w:cs="Tahoma"/>
                <w:color w:val="000000" w:themeColor="text1"/>
                <w:sz w:val="18"/>
                <w:szCs w:val="18"/>
                <w:lang w:val="it-IT"/>
              </w:rPr>
            </w:pPr>
            <w:hyperlink r:id="rId11" w:history="1">
              <w:r w:rsidR="00BA141A" w:rsidRPr="00410511">
                <w:rPr>
                  <w:rStyle w:val="Hyperlink"/>
                  <w:rFonts w:ascii="Tahoma" w:hAnsi="Tahoma" w:cs="Tahoma"/>
                  <w:sz w:val="18"/>
                  <w:szCs w:val="18"/>
                  <w:lang w:val="it-IT"/>
                </w:rPr>
                <w:t>lsg.serbia@coe.int</w:t>
              </w:r>
            </w:hyperlink>
          </w:p>
          <w:p w14:paraId="14BEAED4" w14:textId="799AA7CE" w:rsidR="003122C0" w:rsidRPr="002A092A" w:rsidRDefault="00880026" w:rsidP="00880026">
            <w:pPr>
              <w:rPr>
                <w:rFonts w:ascii="Tahoma" w:hAnsi="Tahoma" w:cs="Tahoma"/>
                <w:b/>
                <w:caps/>
                <w:color w:val="000000" w:themeColor="text1"/>
                <w:sz w:val="18"/>
                <w:szCs w:val="18"/>
                <w:highlight w:val="cyan"/>
              </w:rPr>
            </w:pPr>
            <w:r w:rsidRPr="000355E5">
              <w:rPr>
                <w:rFonts w:ascii="Tahoma" w:hAnsi="Tahoma" w:cs="Tahoma"/>
                <w:b/>
                <w:caps/>
                <w:color w:val="000000" w:themeColor="text1"/>
                <w:sz w:val="18"/>
                <w:szCs w:val="18"/>
              </w:rPr>
              <w:t>011 71 555 30</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3964DF51" w14:textId="77777777" w:rsidR="00880026" w:rsidRPr="00D0286A" w:rsidRDefault="00880026" w:rsidP="00880026">
      <w:pPr>
        <w:spacing w:before="60" w:after="120"/>
        <w:rPr>
          <w:rFonts w:ascii="Tahoma" w:hAnsi="Tahoma" w:cs="Tahoma"/>
          <w:b/>
        </w:rPr>
      </w:pPr>
      <w:r w:rsidRPr="00D0286A">
        <w:rPr>
          <w:rFonts w:ascii="Tahoma" w:hAnsi="Tahoma" w:cs="Tahoma"/>
          <w:b/>
        </w:rPr>
        <w:t xml:space="preserve">This Act of Engagement lays down the terms and conditions of the </w:t>
      </w:r>
      <w:r w:rsidRPr="00D0286A">
        <w:rPr>
          <w:rFonts w:ascii="Tahoma" w:hAnsi="Tahoma" w:cs="Tahoma"/>
          <w:b/>
          <w:u w:val="single"/>
        </w:rPr>
        <w:t>framework contract</w:t>
      </w:r>
      <w:r w:rsidRPr="00D0286A">
        <w:rPr>
          <w:rFonts w:ascii="Tahoma" w:hAnsi="Tahoma" w:cs="Tahoma"/>
          <w:b/>
        </w:rPr>
        <w:t xml:space="preserve"> between the Provider (as described below, and the Council of Europe</w:t>
      </w:r>
      <w:r w:rsidRPr="00D0286A">
        <w:rPr>
          <w:rFonts w:ascii="Tahoma" w:hAnsi="Tahoma" w:cs="Tahoma"/>
          <w:b/>
          <w:vertAlign w:val="superscript"/>
        </w:rPr>
        <w:footnoteReference w:id="1"/>
      </w:r>
      <w:r w:rsidRPr="00D0286A">
        <w:rPr>
          <w:rFonts w:ascii="Tahoma" w:hAnsi="Tahoma" w:cs="Tahoma"/>
          <w:b/>
        </w:rPr>
        <w:t xml:space="preserve"> for the provision of </w:t>
      </w:r>
      <w:bookmarkStart w:id="0" w:name="_Hlk97212996"/>
      <w:r>
        <w:rPr>
          <w:rFonts w:ascii="Tahoma" w:hAnsi="Tahoma" w:cs="Tahoma"/>
          <w:b/>
        </w:rPr>
        <w:t xml:space="preserve">conducting analysis on HRM performance in total 70 LSGs and developing Cumulative report for 70 LSGs based on the analyses’ findings </w:t>
      </w:r>
    </w:p>
    <w:bookmarkEnd w:id="0"/>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69642D"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69642D"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69642D"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1C143B5" w14:textId="77777777" w:rsidR="00880026" w:rsidRDefault="00880026" w:rsidP="00880026">
      <w:pPr>
        <w:spacing w:line="276" w:lineRule="auto"/>
        <w:jc w:val="both"/>
        <w:rPr>
          <w:rFonts w:ascii="Tahoma" w:hAnsi="Tahoma" w:cs="Tahoma"/>
          <w:sz w:val="20"/>
          <w:szCs w:val="20"/>
        </w:rPr>
      </w:pPr>
      <w:r w:rsidRPr="002A092A">
        <w:rPr>
          <w:rFonts w:ascii="Tahoma" w:hAnsi="Tahoma" w:cs="Tahoma"/>
          <w:sz w:val="20"/>
          <w:szCs w:val="20"/>
        </w:rPr>
        <w:t xml:space="preserve">The Council of Europe is currently implementing a </w:t>
      </w:r>
      <w:r w:rsidRPr="0099045E">
        <w:rPr>
          <w:rFonts w:ascii="Tahoma" w:hAnsi="Tahoma" w:cs="Tahoma"/>
          <w:color w:val="000000" w:themeColor="text1"/>
          <w:sz w:val="20"/>
          <w:szCs w:val="20"/>
        </w:rPr>
        <w:t>joint EU/CoE programme “Human Resources Management in local self-government”</w:t>
      </w:r>
      <w:r>
        <w:rPr>
          <w:rFonts w:ascii="Tahoma" w:hAnsi="Tahoma" w:cs="Tahoma"/>
          <w:color w:val="000000" w:themeColor="text1"/>
          <w:sz w:val="20"/>
          <w:szCs w:val="20"/>
        </w:rPr>
        <w:t xml:space="preserve"> -</w:t>
      </w:r>
      <w:r w:rsidRPr="0099045E">
        <w:rPr>
          <w:rFonts w:ascii="Tahoma" w:hAnsi="Tahoma" w:cs="Tahoma"/>
          <w:color w:val="000000" w:themeColor="text1"/>
          <w:sz w:val="20"/>
          <w:szCs w:val="20"/>
        </w:rPr>
        <w:t xml:space="preserve"> phase 2 (2018 -202</w:t>
      </w:r>
      <w:r>
        <w:rPr>
          <w:rFonts w:ascii="Tahoma" w:hAnsi="Tahoma" w:cs="Tahoma"/>
          <w:color w:val="000000" w:themeColor="text1"/>
          <w:sz w:val="20"/>
          <w:szCs w:val="20"/>
        </w:rPr>
        <w:t>2</w:t>
      </w:r>
      <w:r w:rsidRPr="0099045E">
        <w:rPr>
          <w:rFonts w:ascii="Tahoma" w:hAnsi="Tahoma" w:cs="Tahoma"/>
          <w:color w:val="000000" w:themeColor="text1"/>
          <w:sz w:val="20"/>
          <w:szCs w:val="20"/>
        </w:rPr>
        <w:t xml:space="preserve">) </w:t>
      </w:r>
      <w:r>
        <w:rPr>
          <w:rFonts w:ascii="Tahoma" w:hAnsi="Tahoma" w:cs="Tahoma"/>
          <w:color w:val="000000" w:themeColor="text1"/>
          <w:sz w:val="20"/>
          <w:szCs w:val="20"/>
        </w:rPr>
        <w:t xml:space="preserve">which </w:t>
      </w:r>
      <w:r w:rsidRPr="0099045E">
        <w:rPr>
          <w:rFonts w:ascii="Tahoma" w:hAnsi="Tahoma" w:cs="Tahoma"/>
          <w:color w:val="000000" w:themeColor="text1"/>
          <w:sz w:val="20"/>
          <w:szCs w:val="20"/>
        </w:rPr>
        <w:t>is based on the achievements and challenges of the Programme “Human Resources Management in local self-government” phase 1 (2016-2017)</w:t>
      </w:r>
      <w:r>
        <w:rPr>
          <w:rFonts w:ascii="Tahoma" w:hAnsi="Tahoma" w:cs="Tahoma"/>
          <w:sz w:val="20"/>
          <w:szCs w:val="20"/>
        </w:rPr>
        <w:t>.</w:t>
      </w:r>
      <w:r w:rsidRPr="00A120C9">
        <w:rPr>
          <w:rFonts w:ascii="Tahoma" w:hAnsi="Tahoma" w:cs="Tahoma"/>
          <w:color w:val="000000" w:themeColor="text1"/>
          <w:sz w:val="20"/>
          <w:szCs w:val="20"/>
        </w:rPr>
        <w:t xml:space="preserve"> </w:t>
      </w:r>
      <w:r w:rsidRPr="0099045E">
        <w:rPr>
          <w:rFonts w:ascii="Tahoma" w:hAnsi="Tahoma" w:cs="Tahoma"/>
          <w:color w:val="000000" w:themeColor="text1"/>
          <w:sz w:val="20"/>
          <w:szCs w:val="20"/>
        </w:rPr>
        <w:t>The Program is financed by the European Union (EU) and the Council of Europe (CoE) and is implemented by the Council of Europe in cooperation with the project partners: Ministry of Public Administration and Local Self-Government</w:t>
      </w:r>
      <w:r>
        <w:rPr>
          <w:rFonts w:ascii="Tahoma" w:hAnsi="Tahoma" w:cs="Tahoma"/>
          <w:color w:val="000000" w:themeColor="text1"/>
          <w:sz w:val="20"/>
          <w:szCs w:val="20"/>
        </w:rPr>
        <w:t xml:space="preserve"> (MPALSG)</w:t>
      </w:r>
      <w:r w:rsidRPr="0099045E">
        <w:rPr>
          <w:rFonts w:ascii="Tahoma" w:hAnsi="Tahoma" w:cs="Tahoma"/>
          <w:color w:val="000000" w:themeColor="text1"/>
          <w:sz w:val="20"/>
          <w:szCs w:val="20"/>
        </w:rPr>
        <w:t xml:space="preserve"> and Standing Conference of Towns and Municipalities</w:t>
      </w:r>
      <w:r>
        <w:rPr>
          <w:rFonts w:ascii="Tahoma" w:hAnsi="Tahoma" w:cs="Tahoma"/>
          <w:color w:val="000000" w:themeColor="text1"/>
          <w:sz w:val="20"/>
          <w:szCs w:val="20"/>
        </w:rPr>
        <w:t xml:space="preserve"> (SCTM)</w:t>
      </w:r>
      <w:r w:rsidRPr="0099045E">
        <w:rPr>
          <w:rFonts w:ascii="Tahoma" w:hAnsi="Tahoma" w:cs="Tahoma"/>
          <w:color w:val="000000" w:themeColor="text1"/>
          <w:sz w:val="20"/>
          <w:szCs w:val="20"/>
        </w:rPr>
        <w:t>, who are implementing activities in line with their scope of work. The program started on 19 December 2018, and it will be completed on 1</w:t>
      </w:r>
      <w:r>
        <w:rPr>
          <w:rFonts w:ascii="Tahoma" w:hAnsi="Tahoma" w:cs="Tahoma"/>
          <w:color w:val="000000" w:themeColor="text1"/>
          <w:sz w:val="20"/>
          <w:szCs w:val="20"/>
        </w:rPr>
        <w:t>8</w:t>
      </w:r>
      <w:r w:rsidRPr="0099045E">
        <w:rPr>
          <w:rFonts w:ascii="Tahoma" w:hAnsi="Tahoma" w:cs="Tahoma"/>
          <w:color w:val="000000" w:themeColor="text1"/>
          <w:sz w:val="20"/>
          <w:szCs w:val="20"/>
        </w:rPr>
        <w:t xml:space="preserve"> </w:t>
      </w:r>
      <w:r>
        <w:rPr>
          <w:rFonts w:ascii="Tahoma" w:hAnsi="Tahoma" w:cs="Tahoma"/>
          <w:color w:val="000000" w:themeColor="text1"/>
          <w:sz w:val="20"/>
          <w:szCs w:val="20"/>
        </w:rPr>
        <w:t>June</w:t>
      </w:r>
      <w:r w:rsidRPr="0099045E">
        <w:rPr>
          <w:rFonts w:ascii="Tahoma" w:hAnsi="Tahoma" w:cs="Tahoma"/>
          <w:color w:val="000000" w:themeColor="text1"/>
          <w:sz w:val="20"/>
          <w:szCs w:val="20"/>
        </w:rPr>
        <w:t xml:space="preserve"> 202</w:t>
      </w:r>
      <w:r>
        <w:rPr>
          <w:rFonts w:ascii="Tahoma" w:hAnsi="Tahoma" w:cs="Tahoma"/>
          <w:color w:val="000000" w:themeColor="text1"/>
          <w:sz w:val="20"/>
          <w:szCs w:val="20"/>
        </w:rPr>
        <w:t>2.</w:t>
      </w:r>
    </w:p>
    <w:p w14:paraId="5E4F4EA5" w14:textId="77777777" w:rsidR="00880026" w:rsidRDefault="00880026" w:rsidP="00880026">
      <w:pPr>
        <w:spacing w:line="276" w:lineRule="auto"/>
        <w:ind w:left="-142"/>
        <w:jc w:val="both"/>
        <w:rPr>
          <w:rFonts w:ascii="Tahoma" w:hAnsi="Tahoma" w:cs="Tahoma"/>
          <w:sz w:val="20"/>
          <w:szCs w:val="20"/>
        </w:rPr>
      </w:pPr>
    </w:p>
    <w:p w14:paraId="2388EC41" w14:textId="77777777" w:rsidR="00880026" w:rsidRDefault="00880026" w:rsidP="00880026">
      <w:pPr>
        <w:spacing w:line="276" w:lineRule="auto"/>
        <w:jc w:val="both"/>
        <w:rPr>
          <w:rFonts w:ascii="Tahoma" w:hAnsi="Tahoma" w:cs="Tahoma"/>
          <w:sz w:val="20"/>
          <w:szCs w:val="20"/>
        </w:rPr>
      </w:pPr>
      <w:r w:rsidRPr="0099045E">
        <w:rPr>
          <w:rFonts w:ascii="Tahoma" w:hAnsi="Tahoma" w:cs="Tahoma"/>
          <w:color w:val="000000" w:themeColor="text1"/>
          <w:sz w:val="20"/>
          <w:szCs w:val="20"/>
        </w:rPr>
        <w:t>The overall objective of the Programme is to support Serbian administration to effectively meet requirements and conditions deriving from the accession negotiations and successfully manage overall EU integration and pre-accession assistance geared towards EU membership, focusing on key areas of human resources management (HRM) and human resource development (HRD) in local public administration</w:t>
      </w:r>
      <w:r>
        <w:rPr>
          <w:rFonts w:ascii="Tahoma" w:hAnsi="Tahoma" w:cs="Tahoma"/>
          <w:sz w:val="20"/>
          <w:szCs w:val="20"/>
        </w:rPr>
        <w:t>.</w:t>
      </w:r>
      <w:r w:rsidRPr="00D0286A">
        <w:rPr>
          <w:rFonts w:ascii="Tahoma" w:hAnsi="Tahoma" w:cs="Tahoma"/>
          <w:sz w:val="20"/>
          <w:szCs w:val="20"/>
        </w:rPr>
        <w:t xml:space="preserve"> </w:t>
      </w:r>
    </w:p>
    <w:p w14:paraId="56DC4B0F" w14:textId="77777777" w:rsidR="00880026" w:rsidRDefault="00880026" w:rsidP="00880026">
      <w:pPr>
        <w:spacing w:line="276" w:lineRule="auto"/>
        <w:jc w:val="both"/>
        <w:rPr>
          <w:rFonts w:ascii="Tahoma" w:hAnsi="Tahoma" w:cs="Tahoma"/>
          <w:sz w:val="20"/>
          <w:szCs w:val="20"/>
        </w:rPr>
      </w:pPr>
    </w:p>
    <w:p w14:paraId="5C38694C" w14:textId="0BEE2B62" w:rsidR="00880026" w:rsidRDefault="00880026" w:rsidP="00880026">
      <w:pPr>
        <w:jc w:val="both"/>
        <w:rPr>
          <w:rFonts w:ascii="Tahoma" w:eastAsia="Calibri" w:hAnsi="Tahoma" w:cs="Tahoma"/>
          <w:sz w:val="20"/>
          <w:szCs w:val="20"/>
          <w:lang w:eastAsia="en-US"/>
        </w:rPr>
      </w:pPr>
      <w:r w:rsidRPr="00B52BD1">
        <w:rPr>
          <w:rFonts w:ascii="Tahoma" w:hAnsi="Tahoma" w:cs="Tahoma"/>
          <w:b/>
          <w:bCs/>
          <w:sz w:val="20"/>
          <w:szCs w:val="20"/>
        </w:rPr>
        <w:t xml:space="preserve">Within the scope of the Programme activity on improvement and implementation of the SCTM performance management index </w:t>
      </w:r>
      <w:r w:rsidRPr="0048606F">
        <w:rPr>
          <w:rFonts w:ascii="Tahoma" w:hAnsi="Tahoma" w:cs="Tahoma"/>
          <w:b/>
          <w:bCs/>
          <w:sz w:val="20"/>
          <w:szCs w:val="20"/>
        </w:rPr>
        <w:t>(</w:t>
      </w:r>
      <w:r w:rsidR="0048606F" w:rsidRPr="0048606F">
        <w:rPr>
          <w:rFonts w:ascii="Tahoma" w:hAnsi="Tahoma" w:cs="Tahoma"/>
          <w:b/>
          <w:bCs/>
          <w:sz w:val="20"/>
          <w:szCs w:val="20"/>
        </w:rPr>
        <w:t xml:space="preserve">Activity </w:t>
      </w:r>
      <w:r w:rsidRPr="0048606F">
        <w:rPr>
          <w:rFonts w:ascii="Tahoma" w:hAnsi="Tahoma" w:cs="Tahoma"/>
          <w:b/>
          <w:bCs/>
          <w:sz w:val="20"/>
          <w:szCs w:val="20"/>
        </w:rPr>
        <w:t>1.2.1)</w:t>
      </w:r>
      <w:r>
        <w:rPr>
          <w:rFonts w:ascii="Tahoma" w:hAnsi="Tahoma" w:cs="Tahoma"/>
          <w:sz w:val="20"/>
          <w:szCs w:val="20"/>
        </w:rPr>
        <w:t xml:space="preserve"> and in accordance with the new legal provisions of the </w:t>
      </w:r>
      <w:r>
        <w:rPr>
          <w:rFonts w:ascii="Tahoma" w:eastAsia="Calibri" w:hAnsi="Tahoma" w:cs="Tahoma"/>
          <w:sz w:val="20"/>
          <w:szCs w:val="20"/>
          <w:lang w:eastAsia="en-US"/>
        </w:rPr>
        <w:t>Law on employees in Autonomous Provinces (APs) and Local Self-Governments units (hereinafter the Law</w:t>
      </w:r>
      <w:r>
        <w:rPr>
          <w:rFonts w:ascii="Tahoma" w:hAnsi="Tahoma" w:cs="Tahoma"/>
          <w:sz w:val="20"/>
          <w:szCs w:val="20"/>
        </w:rPr>
        <w:t>), the Programme will support conduction of third analysis of Human Resources Management (</w:t>
      </w:r>
      <w:r>
        <w:rPr>
          <w:rFonts w:ascii="Tahoma" w:eastAsia="Calibri" w:hAnsi="Tahoma" w:cs="Tahoma"/>
          <w:sz w:val="20"/>
          <w:szCs w:val="20"/>
          <w:lang w:eastAsia="en-US"/>
        </w:rPr>
        <w:t>HRM) performance and development of Cumulative report on HRM performance in 70 LSGs</w:t>
      </w:r>
      <w:r w:rsidRPr="00BF5179">
        <w:rPr>
          <w:rFonts w:ascii="Tahoma" w:eastAsia="Calibri" w:hAnsi="Tahoma" w:cs="Tahoma"/>
          <w:sz w:val="20"/>
          <w:szCs w:val="20"/>
          <w:lang w:eastAsia="en-US"/>
        </w:rPr>
        <w:t>.</w:t>
      </w:r>
      <w:r>
        <w:rPr>
          <w:rFonts w:ascii="Tahoma" w:eastAsia="Calibri" w:hAnsi="Tahoma" w:cs="Tahoma"/>
          <w:sz w:val="20"/>
          <w:szCs w:val="20"/>
          <w:lang w:eastAsia="en-US"/>
        </w:rPr>
        <w:t xml:space="preserve"> </w:t>
      </w:r>
    </w:p>
    <w:p w14:paraId="7B2C6332" w14:textId="77777777" w:rsidR="00880026" w:rsidRDefault="00880026" w:rsidP="00880026">
      <w:pPr>
        <w:jc w:val="both"/>
        <w:rPr>
          <w:rFonts w:ascii="Tahoma" w:eastAsia="Calibri" w:hAnsi="Tahoma" w:cs="Tahoma"/>
          <w:sz w:val="20"/>
          <w:szCs w:val="20"/>
          <w:lang w:eastAsia="en-US"/>
        </w:rPr>
      </w:pPr>
    </w:p>
    <w:p w14:paraId="70E66627" w14:textId="77777777" w:rsidR="00880026" w:rsidRPr="00687B1A" w:rsidRDefault="00880026" w:rsidP="00880026">
      <w:pPr>
        <w:jc w:val="both"/>
        <w:rPr>
          <w:rFonts w:ascii="Tahoma" w:eastAsia="Calibri" w:hAnsi="Tahoma" w:cs="Tahoma"/>
          <w:sz w:val="20"/>
          <w:szCs w:val="20"/>
          <w:u w:val="single"/>
          <w:lang w:eastAsia="en-US"/>
        </w:rPr>
      </w:pPr>
      <w:r>
        <w:rPr>
          <w:rFonts w:ascii="Tahoma" w:eastAsia="Calibri" w:hAnsi="Tahoma" w:cs="Tahoma"/>
          <w:sz w:val="20"/>
          <w:szCs w:val="20"/>
          <w:lang w:eastAsia="en-US"/>
        </w:rPr>
        <w:t xml:space="preserve">Within the previous period, Programme supported conduction of two analysis on HRM performance in total 70 LSGs and development of two Cumulative reports. </w:t>
      </w:r>
      <w:r w:rsidRPr="00B52BD1">
        <w:rPr>
          <w:rFonts w:ascii="Tahoma" w:eastAsia="Calibri" w:hAnsi="Tahoma" w:cs="Tahoma"/>
          <w:b/>
          <w:bCs/>
          <w:sz w:val="20"/>
          <w:szCs w:val="20"/>
          <w:lang w:eastAsia="en-US"/>
        </w:rPr>
        <w:t>First baseline analysis</w:t>
      </w:r>
      <w:r>
        <w:rPr>
          <w:rFonts w:ascii="Tahoma" w:eastAsia="Calibri" w:hAnsi="Tahoma" w:cs="Tahoma"/>
          <w:sz w:val="20"/>
          <w:szCs w:val="20"/>
          <w:lang w:eastAsia="en-US"/>
        </w:rPr>
        <w:t xml:space="preserve"> was conducted in June 2020, and </w:t>
      </w:r>
      <w:r w:rsidRPr="00B52BD1">
        <w:rPr>
          <w:rFonts w:ascii="Tahoma" w:eastAsia="Calibri" w:hAnsi="Tahoma" w:cs="Tahoma"/>
          <w:b/>
          <w:bCs/>
          <w:sz w:val="20"/>
          <w:szCs w:val="20"/>
          <w:lang w:eastAsia="en-US"/>
        </w:rPr>
        <w:t>second final analysis</w:t>
      </w:r>
      <w:r>
        <w:rPr>
          <w:rFonts w:ascii="Tahoma" w:eastAsia="Calibri" w:hAnsi="Tahoma" w:cs="Tahoma"/>
          <w:sz w:val="20"/>
          <w:szCs w:val="20"/>
          <w:lang w:eastAsia="en-US"/>
        </w:rPr>
        <w:t xml:space="preserve"> was conducted in May 2021. </w:t>
      </w:r>
      <w:r w:rsidRPr="00687B1A">
        <w:rPr>
          <w:rFonts w:ascii="Tahoma" w:eastAsia="Calibri" w:hAnsi="Tahoma" w:cs="Tahoma"/>
          <w:sz w:val="20"/>
          <w:szCs w:val="20"/>
          <w:u w:val="single"/>
          <w:lang w:eastAsia="en-US"/>
        </w:rPr>
        <w:t xml:space="preserve">For measurement of the </w:t>
      </w:r>
      <w:r>
        <w:rPr>
          <w:rFonts w:ascii="Tahoma" w:eastAsia="Calibri" w:hAnsi="Tahoma" w:cs="Tahoma"/>
          <w:sz w:val="20"/>
          <w:szCs w:val="20"/>
          <w:u w:val="single"/>
          <w:lang w:eastAsia="en-US"/>
        </w:rPr>
        <w:t>p</w:t>
      </w:r>
      <w:r w:rsidRPr="00687B1A">
        <w:rPr>
          <w:rFonts w:ascii="Tahoma" w:eastAsia="Calibri" w:hAnsi="Tahoma" w:cs="Tahoma"/>
          <w:sz w:val="20"/>
          <w:szCs w:val="20"/>
          <w:u w:val="single"/>
          <w:lang w:eastAsia="en-US"/>
        </w:rPr>
        <w:t xml:space="preserve">rogress SCTM </w:t>
      </w:r>
      <w:r>
        <w:rPr>
          <w:rFonts w:ascii="Tahoma" w:eastAsia="Calibri" w:hAnsi="Tahoma" w:cs="Tahoma"/>
          <w:sz w:val="20"/>
          <w:szCs w:val="20"/>
          <w:u w:val="single"/>
          <w:lang w:eastAsia="en-US"/>
        </w:rPr>
        <w:t xml:space="preserve">HRM </w:t>
      </w:r>
      <w:r w:rsidRPr="00687B1A">
        <w:rPr>
          <w:rFonts w:ascii="Tahoma" w:eastAsia="Calibri" w:hAnsi="Tahoma" w:cs="Tahoma"/>
          <w:sz w:val="20"/>
          <w:szCs w:val="20"/>
          <w:u w:val="single"/>
          <w:lang w:eastAsia="en-US"/>
        </w:rPr>
        <w:t>performance management index tool was used for conducting the analysis in designated LSGs.</w:t>
      </w:r>
    </w:p>
    <w:p w14:paraId="51E9E313" w14:textId="77777777" w:rsidR="00880026" w:rsidRDefault="00880026" w:rsidP="00880026">
      <w:pPr>
        <w:jc w:val="both"/>
        <w:rPr>
          <w:rFonts w:ascii="Tahoma" w:eastAsia="Calibri" w:hAnsi="Tahoma" w:cs="Tahoma"/>
          <w:sz w:val="20"/>
          <w:szCs w:val="20"/>
          <w:lang w:eastAsia="en-US"/>
        </w:rPr>
      </w:pPr>
    </w:p>
    <w:p w14:paraId="14B921F4" w14:textId="77777777" w:rsidR="00880026" w:rsidRPr="00A62264" w:rsidRDefault="00880026" w:rsidP="00880026">
      <w:pPr>
        <w:jc w:val="both"/>
        <w:rPr>
          <w:rFonts w:ascii="Tahoma" w:eastAsia="Calibri" w:hAnsi="Tahoma" w:cs="Tahoma"/>
          <w:b/>
          <w:bCs/>
          <w:sz w:val="20"/>
          <w:szCs w:val="20"/>
          <w:lang w:eastAsia="en-US"/>
        </w:rPr>
      </w:pPr>
    </w:p>
    <w:p w14:paraId="1D583D26" w14:textId="77777777" w:rsidR="00880026" w:rsidRPr="00A62264" w:rsidRDefault="00880026" w:rsidP="00880026">
      <w:pPr>
        <w:jc w:val="both"/>
        <w:rPr>
          <w:rFonts w:ascii="Tahoma" w:eastAsia="Calibri" w:hAnsi="Tahoma" w:cs="Tahoma"/>
          <w:b/>
          <w:bCs/>
          <w:sz w:val="20"/>
          <w:szCs w:val="20"/>
          <w:lang w:eastAsia="en-US"/>
        </w:rPr>
      </w:pPr>
      <w:r w:rsidRPr="00A62264">
        <w:rPr>
          <w:rFonts w:ascii="Tahoma" w:eastAsia="Calibri" w:hAnsi="Tahoma" w:cs="Tahoma"/>
          <w:b/>
          <w:bCs/>
          <w:sz w:val="20"/>
          <w:szCs w:val="20"/>
          <w:lang w:eastAsia="en-US"/>
        </w:rPr>
        <w:t>The baseline analysis was conducted in total 70</w:t>
      </w:r>
      <w:r>
        <w:rPr>
          <w:rFonts w:ascii="Tahoma" w:eastAsia="Calibri" w:hAnsi="Tahoma" w:cs="Tahoma"/>
          <w:b/>
          <w:bCs/>
          <w:sz w:val="20"/>
          <w:szCs w:val="20"/>
          <w:lang w:eastAsia="en-US"/>
        </w:rPr>
        <w:t xml:space="preserve"> LSGs</w:t>
      </w:r>
      <w:r w:rsidRPr="00A62264">
        <w:rPr>
          <w:rFonts w:ascii="Tahoma" w:eastAsia="Calibri" w:hAnsi="Tahoma" w:cs="Tahoma"/>
          <w:b/>
          <w:bCs/>
          <w:sz w:val="20"/>
          <w:szCs w:val="20"/>
          <w:lang w:eastAsia="en-US"/>
        </w:rPr>
        <w:t>,</w:t>
      </w:r>
      <w:r>
        <w:rPr>
          <w:rFonts w:ascii="Tahoma" w:eastAsia="Calibri" w:hAnsi="Tahoma" w:cs="Tahoma"/>
          <w:sz w:val="20"/>
          <w:szCs w:val="20"/>
          <w:lang w:eastAsia="en-US"/>
        </w:rPr>
        <w:t xml:space="preserve"> more precisely in 50 LSGs - which were planned to be supported by the Programme in strengthening HRM function and in 20 LSGs for which Progrramme support was not planned. It was conducted before provided programme support to 50 LSGs in order to identify current state of play in HRM performance in 50 and 20 LSGs (May 2020). </w:t>
      </w:r>
      <w:r w:rsidRPr="00A62264">
        <w:rPr>
          <w:rFonts w:ascii="Tahoma" w:eastAsia="Calibri" w:hAnsi="Tahoma" w:cs="Tahoma"/>
          <w:b/>
          <w:bCs/>
          <w:sz w:val="20"/>
          <w:szCs w:val="20"/>
          <w:lang w:eastAsia="en-US"/>
        </w:rPr>
        <w:t>The cumulative baseline report for all 70 LSGs w</w:t>
      </w:r>
      <w:r>
        <w:rPr>
          <w:rFonts w:ascii="Tahoma" w:eastAsia="Calibri" w:hAnsi="Tahoma" w:cs="Tahoma"/>
          <w:b/>
          <w:bCs/>
          <w:sz w:val="20"/>
          <w:szCs w:val="20"/>
          <w:lang w:eastAsia="en-US"/>
        </w:rPr>
        <w:t>as</w:t>
      </w:r>
      <w:r w:rsidRPr="00A62264">
        <w:rPr>
          <w:rFonts w:ascii="Tahoma" w:eastAsia="Calibri" w:hAnsi="Tahoma" w:cs="Tahoma"/>
          <w:b/>
          <w:bCs/>
          <w:sz w:val="20"/>
          <w:szCs w:val="20"/>
          <w:lang w:eastAsia="en-US"/>
        </w:rPr>
        <w:t xml:space="preserve"> developed based on the findings of conducted analysis.</w:t>
      </w:r>
    </w:p>
    <w:p w14:paraId="5D2E946C" w14:textId="77777777" w:rsidR="00880026" w:rsidRDefault="00880026" w:rsidP="00880026">
      <w:pPr>
        <w:jc w:val="both"/>
        <w:rPr>
          <w:rFonts w:ascii="Tahoma" w:eastAsia="Calibri" w:hAnsi="Tahoma" w:cs="Tahoma"/>
          <w:sz w:val="20"/>
          <w:szCs w:val="20"/>
          <w:lang w:eastAsia="en-US"/>
        </w:rPr>
      </w:pPr>
      <w:r>
        <w:rPr>
          <w:rFonts w:ascii="Tahoma" w:eastAsia="Calibri" w:hAnsi="Tahoma" w:cs="Tahoma"/>
          <w:sz w:val="20"/>
          <w:szCs w:val="20"/>
          <w:lang w:eastAsia="en-US"/>
        </w:rPr>
        <w:t xml:space="preserve"> </w:t>
      </w:r>
    </w:p>
    <w:p w14:paraId="5F00E739" w14:textId="592B95DC" w:rsidR="00880026" w:rsidRDefault="00880026" w:rsidP="00880026">
      <w:pPr>
        <w:jc w:val="both"/>
        <w:rPr>
          <w:rFonts w:ascii="Tahoma" w:eastAsia="Calibri" w:hAnsi="Tahoma" w:cs="Tahoma"/>
          <w:sz w:val="20"/>
          <w:szCs w:val="20"/>
          <w:lang w:eastAsia="en-US"/>
        </w:rPr>
      </w:pPr>
      <w:r>
        <w:rPr>
          <w:rFonts w:ascii="Tahoma" w:eastAsia="Calibri" w:hAnsi="Tahoma" w:cs="Tahoma"/>
          <w:sz w:val="20"/>
          <w:szCs w:val="20"/>
          <w:lang w:eastAsia="en-US"/>
        </w:rPr>
        <w:t xml:space="preserve">After completion of Programme support in strengthening HRM function the </w:t>
      </w:r>
      <w:r w:rsidRPr="00A62264">
        <w:rPr>
          <w:rFonts w:ascii="Tahoma" w:eastAsia="Calibri" w:hAnsi="Tahoma" w:cs="Tahoma"/>
          <w:b/>
          <w:bCs/>
          <w:sz w:val="20"/>
          <w:szCs w:val="20"/>
          <w:lang w:eastAsia="en-US"/>
        </w:rPr>
        <w:t>final analysis was conducted in total 70 LSG</w:t>
      </w:r>
      <w:r>
        <w:rPr>
          <w:rFonts w:ascii="Tahoma" w:eastAsia="Calibri" w:hAnsi="Tahoma" w:cs="Tahoma"/>
          <w:b/>
          <w:bCs/>
          <w:sz w:val="20"/>
          <w:szCs w:val="20"/>
          <w:lang w:eastAsia="en-US"/>
        </w:rPr>
        <w:t xml:space="preserve">s, </w:t>
      </w:r>
      <w:r w:rsidRPr="0069264E">
        <w:rPr>
          <w:rFonts w:ascii="Tahoma" w:eastAsia="Calibri" w:hAnsi="Tahoma" w:cs="Tahoma"/>
          <w:sz w:val="20"/>
          <w:szCs w:val="20"/>
          <w:lang w:eastAsia="en-US"/>
        </w:rPr>
        <w:t>in order</w:t>
      </w:r>
      <w:r>
        <w:rPr>
          <w:rFonts w:ascii="Tahoma" w:eastAsia="Calibri" w:hAnsi="Tahoma" w:cs="Tahoma"/>
          <w:b/>
          <w:bCs/>
          <w:sz w:val="20"/>
          <w:szCs w:val="20"/>
          <w:lang w:eastAsia="en-US"/>
        </w:rPr>
        <w:t xml:space="preserve"> </w:t>
      </w:r>
      <w:r>
        <w:rPr>
          <w:rFonts w:ascii="Tahoma" w:eastAsia="Calibri" w:hAnsi="Tahoma" w:cs="Tahoma"/>
          <w:sz w:val="20"/>
          <w:szCs w:val="20"/>
          <w:lang w:eastAsia="en-US"/>
        </w:rPr>
        <w:t>to show the achi</w:t>
      </w:r>
      <w:r w:rsidR="00BA141A">
        <w:rPr>
          <w:rFonts w:ascii="Tahoma" w:eastAsia="Calibri" w:hAnsi="Tahoma" w:cs="Tahoma"/>
          <w:sz w:val="20"/>
          <w:szCs w:val="20"/>
          <w:lang w:eastAsia="en-US"/>
        </w:rPr>
        <w:t>e</w:t>
      </w:r>
      <w:r>
        <w:rPr>
          <w:rFonts w:ascii="Tahoma" w:eastAsia="Calibri" w:hAnsi="Tahoma" w:cs="Tahoma"/>
          <w:sz w:val="20"/>
          <w:szCs w:val="20"/>
          <w:lang w:eastAsia="en-US"/>
        </w:rPr>
        <w:t xml:space="preserve">ved progress </w:t>
      </w:r>
      <w:r w:rsidRPr="00A62264">
        <w:rPr>
          <w:rFonts w:ascii="Tahoma" w:eastAsia="Calibri" w:hAnsi="Tahoma" w:cs="Tahoma"/>
          <w:sz w:val="20"/>
          <w:szCs w:val="20"/>
          <w:lang w:eastAsia="en-US"/>
        </w:rPr>
        <w:t>in</w:t>
      </w:r>
      <w:r>
        <w:rPr>
          <w:rFonts w:ascii="Tahoma" w:eastAsia="Calibri" w:hAnsi="Tahoma" w:cs="Tahoma"/>
          <w:b/>
          <w:bCs/>
          <w:sz w:val="20"/>
          <w:szCs w:val="20"/>
          <w:lang w:eastAsia="en-US"/>
        </w:rPr>
        <w:t xml:space="preserve"> </w:t>
      </w:r>
      <w:r>
        <w:rPr>
          <w:rFonts w:ascii="Tahoma" w:eastAsia="Calibri" w:hAnsi="Tahoma" w:cs="Tahoma"/>
          <w:sz w:val="20"/>
          <w:szCs w:val="20"/>
          <w:lang w:eastAsia="en-US"/>
        </w:rPr>
        <w:t>50 LSGs which were supported by the Programme and in 20 LSGs which were without programme support (June 2021). As expected, the achieved progress in 50 LSGs were significantly higher than in 20 LSGs. 50 LSGs increased their HRM performance for around 20%, while in 20 LSGs the increase was around 8%.</w:t>
      </w:r>
      <w:r w:rsidRPr="00687B1A">
        <w:rPr>
          <w:rFonts w:ascii="Tahoma" w:eastAsia="Calibri" w:hAnsi="Tahoma" w:cs="Tahoma"/>
          <w:sz w:val="20"/>
          <w:szCs w:val="20"/>
          <w:lang w:eastAsia="en-US"/>
        </w:rPr>
        <w:t xml:space="preserve"> </w:t>
      </w:r>
      <w:r>
        <w:rPr>
          <w:rFonts w:ascii="Tahoma" w:eastAsia="Calibri" w:hAnsi="Tahoma" w:cs="Tahoma"/>
          <w:sz w:val="20"/>
          <w:szCs w:val="20"/>
          <w:lang w:eastAsia="en-US"/>
        </w:rPr>
        <w:t>The cumulative final report for all 70 LSGs were developed based on the results of conducted analysis.</w:t>
      </w:r>
    </w:p>
    <w:p w14:paraId="40B35671" w14:textId="77777777" w:rsidR="00880026" w:rsidRDefault="00880026" w:rsidP="00880026">
      <w:pPr>
        <w:jc w:val="both"/>
        <w:rPr>
          <w:rFonts w:ascii="Tahoma" w:eastAsia="Calibri" w:hAnsi="Tahoma" w:cs="Tahoma"/>
          <w:sz w:val="20"/>
          <w:szCs w:val="20"/>
          <w:lang w:eastAsia="en-US"/>
        </w:rPr>
      </w:pPr>
    </w:p>
    <w:p w14:paraId="3B07F3A2" w14:textId="1D42ECAF" w:rsidR="00880026" w:rsidRDefault="00880026" w:rsidP="00880026">
      <w:pPr>
        <w:jc w:val="both"/>
        <w:rPr>
          <w:rFonts w:ascii="Tahoma" w:eastAsia="Calibri" w:hAnsi="Tahoma" w:cs="Tahoma"/>
          <w:sz w:val="20"/>
          <w:szCs w:val="20"/>
          <w:lang w:eastAsia="en-US"/>
        </w:rPr>
      </w:pPr>
      <w:r>
        <w:rPr>
          <w:rFonts w:ascii="Tahoma" w:eastAsia="Calibri" w:hAnsi="Tahoma" w:cs="Tahoma"/>
          <w:sz w:val="20"/>
          <w:szCs w:val="20"/>
          <w:lang w:eastAsia="en-US"/>
        </w:rPr>
        <w:t>The Programme is planning to conduct third analysis in total 70 LSGs (same LSGs that participated in the previous process) in order to examine the sustainability of achieved results in HRM performance support and capacities in strengthening HRM function in line with the requirements of the Law and develop Cumulative report on HR performance management in 70 LSGs, based on the analysis results</w:t>
      </w:r>
      <w:r w:rsidR="00D92455">
        <w:rPr>
          <w:rFonts w:ascii="Tahoma" w:eastAsia="Calibri" w:hAnsi="Tahoma" w:cs="Tahoma"/>
          <w:sz w:val="20"/>
          <w:szCs w:val="20"/>
          <w:lang w:eastAsia="en-US"/>
        </w:rPr>
        <w:t>.</w:t>
      </w:r>
      <w:r>
        <w:rPr>
          <w:rFonts w:ascii="Tahoma" w:eastAsia="Calibri" w:hAnsi="Tahoma" w:cs="Tahoma"/>
          <w:sz w:val="20"/>
          <w:szCs w:val="20"/>
          <w:lang w:eastAsia="en-US"/>
        </w:rPr>
        <w:t xml:space="preserve">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6ACE5C6" w14:textId="5BB85597" w:rsidR="00880026" w:rsidRDefault="00880026" w:rsidP="00880026">
      <w:pPr>
        <w:jc w:val="both"/>
        <w:rPr>
          <w:rFonts w:ascii="Tahoma" w:eastAsia="Calibri" w:hAnsi="Tahoma" w:cs="Tahoma"/>
          <w:b/>
          <w:bCs/>
          <w:sz w:val="20"/>
          <w:szCs w:val="20"/>
          <w:lang w:eastAsia="en-US"/>
        </w:rPr>
      </w:pPr>
      <w:r w:rsidRPr="00687B1A">
        <w:rPr>
          <w:rFonts w:ascii="Tahoma" w:hAnsi="Tahoma" w:cs="Tahoma"/>
          <w:b/>
          <w:bCs/>
          <w:sz w:val="20"/>
          <w:szCs w:val="20"/>
        </w:rPr>
        <w:t>In that context, the Council is looking for a maximum</w:t>
      </w:r>
      <w:r w:rsidRPr="002B6AB3">
        <w:rPr>
          <w:rFonts w:ascii="Tahoma" w:hAnsi="Tahoma" w:cs="Tahoma"/>
          <w:sz w:val="20"/>
          <w:szCs w:val="20"/>
        </w:rPr>
        <w:t xml:space="preserve"> </w:t>
      </w:r>
      <w:r>
        <w:rPr>
          <w:rFonts w:ascii="Tahoma" w:hAnsi="Tahoma" w:cs="Tahoma"/>
          <w:b/>
          <w:sz w:val="20"/>
          <w:szCs w:val="20"/>
        </w:rPr>
        <w:t>nine (9)</w:t>
      </w:r>
      <w:r w:rsidR="00BE5730">
        <w:rPr>
          <w:rFonts w:ascii="Tahoma" w:hAnsi="Tahoma" w:cs="Tahoma"/>
          <w:b/>
          <w:sz w:val="20"/>
          <w:szCs w:val="20"/>
        </w:rPr>
        <w:t xml:space="preserve"> providers</w:t>
      </w:r>
      <w:r w:rsidR="00C61E37">
        <w:rPr>
          <w:rFonts w:ascii="Tahoma" w:hAnsi="Tahoma" w:cs="Tahoma"/>
          <w:b/>
          <w:sz w:val="20"/>
          <w:szCs w:val="20"/>
        </w:rPr>
        <w:t xml:space="preserve"> </w:t>
      </w:r>
      <w:r w:rsidR="00410511">
        <w:rPr>
          <w:rFonts w:ascii="Tahoma" w:hAnsi="Tahoma" w:cs="Tahoma"/>
          <w:b/>
          <w:sz w:val="20"/>
          <w:szCs w:val="20"/>
        </w:rPr>
        <w:t>to</w:t>
      </w:r>
      <w:r w:rsidRPr="00197C6E">
        <w:rPr>
          <w:rFonts w:ascii="Tahoma" w:hAnsi="Tahoma" w:cs="Tahoma"/>
          <w:b/>
          <w:sz w:val="20"/>
          <w:szCs w:val="20"/>
        </w:rPr>
        <w:t xml:space="preserve"> </w:t>
      </w:r>
      <w:r w:rsidRPr="00197C6E">
        <w:rPr>
          <w:rFonts w:ascii="Tahoma" w:eastAsia="Calibri" w:hAnsi="Tahoma" w:cs="Tahoma"/>
          <w:b/>
          <w:sz w:val="20"/>
          <w:szCs w:val="20"/>
          <w:lang w:eastAsia="en-US"/>
        </w:rPr>
        <w:t xml:space="preserve">conduct the analysis of HR management performance in </w:t>
      </w:r>
      <w:r w:rsidR="00410511">
        <w:rPr>
          <w:rFonts w:ascii="Tahoma" w:eastAsia="Calibri" w:hAnsi="Tahoma" w:cs="Tahoma"/>
          <w:b/>
          <w:sz w:val="20"/>
          <w:szCs w:val="20"/>
          <w:lang w:eastAsia="en-US"/>
        </w:rPr>
        <w:t xml:space="preserve">one of several of the </w:t>
      </w:r>
      <w:r>
        <w:rPr>
          <w:rFonts w:ascii="Tahoma" w:eastAsia="Calibri" w:hAnsi="Tahoma" w:cs="Tahoma"/>
          <w:b/>
          <w:sz w:val="20"/>
          <w:szCs w:val="20"/>
          <w:lang w:eastAsia="en-US"/>
        </w:rPr>
        <w:t>7</w:t>
      </w:r>
      <w:r w:rsidRPr="00197C6E">
        <w:rPr>
          <w:rFonts w:ascii="Tahoma" w:eastAsia="Calibri" w:hAnsi="Tahoma" w:cs="Tahoma"/>
          <w:b/>
          <w:sz w:val="20"/>
          <w:szCs w:val="20"/>
          <w:lang w:eastAsia="en-US"/>
        </w:rPr>
        <w:t>0 LSGs</w:t>
      </w:r>
      <w:r>
        <w:rPr>
          <w:rFonts w:ascii="Tahoma" w:hAnsi="Tahoma" w:cs="Tahoma"/>
          <w:sz w:val="20"/>
          <w:szCs w:val="20"/>
        </w:rPr>
        <w:t xml:space="preserve"> </w:t>
      </w:r>
      <w:r w:rsidR="00410511">
        <w:rPr>
          <w:rFonts w:ascii="Tahoma" w:hAnsi="Tahoma" w:cs="Tahoma"/>
          <w:sz w:val="20"/>
          <w:szCs w:val="20"/>
        </w:rPr>
        <w:t xml:space="preserve">covered by the Project and/or to develop </w:t>
      </w:r>
      <w:r w:rsidR="00410511">
        <w:rPr>
          <w:rFonts w:ascii="Tahoma" w:eastAsia="Calibri" w:hAnsi="Tahoma" w:cs="Tahoma"/>
          <w:b/>
          <w:sz w:val="20"/>
          <w:szCs w:val="20"/>
          <w:lang w:eastAsia="en-US"/>
        </w:rPr>
        <w:t xml:space="preserve">a </w:t>
      </w:r>
      <w:r w:rsidRPr="00687B1A">
        <w:rPr>
          <w:rFonts w:ascii="Tahoma" w:hAnsi="Tahoma" w:cs="Tahoma"/>
          <w:b/>
          <w:bCs/>
          <w:sz w:val="20"/>
          <w:szCs w:val="20"/>
        </w:rPr>
        <w:t>cumulative report on</w:t>
      </w:r>
      <w:r>
        <w:rPr>
          <w:rFonts w:ascii="Tahoma" w:hAnsi="Tahoma" w:cs="Tahoma"/>
          <w:sz w:val="20"/>
          <w:szCs w:val="20"/>
        </w:rPr>
        <w:t xml:space="preserve"> </w:t>
      </w:r>
      <w:r w:rsidRPr="00687B1A">
        <w:rPr>
          <w:rFonts w:ascii="Tahoma" w:eastAsia="Calibri" w:hAnsi="Tahoma" w:cs="Tahoma"/>
          <w:b/>
          <w:bCs/>
          <w:sz w:val="20"/>
          <w:szCs w:val="20"/>
          <w:lang w:eastAsia="en-US"/>
        </w:rPr>
        <w:t>HR management performance in total 70 LSGs</w:t>
      </w:r>
      <w:r>
        <w:rPr>
          <w:rFonts w:ascii="Tahoma" w:eastAsia="Calibri" w:hAnsi="Tahoma" w:cs="Tahoma"/>
          <w:b/>
          <w:bCs/>
          <w:sz w:val="20"/>
          <w:szCs w:val="20"/>
          <w:lang w:eastAsia="en-US"/>
        </w:rPr>
        <w:t>.</w:t>
      </w:r>
    </w:p>
    <w:p w14:paraId="46C97F81" w14:textId="77777777" w:rsidR="00410511" w:rsidRDefault="00410511" w:rsidP="00880026">
      <w:pPr>
        <w:jc w:val="both"/>
        <w:rPr>
          <w:rFonts w:ascii="Tahoma" w:eastAsia="Calibri" w:hAnsi="Tahoma" w:cs="Tahoma"/>
          <w:sz w:val="20"/>
          <w:szCs w:val="20"/>
          <w:lang w:eastAsia="en-US"/>
        </w:rPr>
      </w:pPr>
    </w:p>
    <w:p w14:paraId="3B1C2965" w14:textId="77777777" w:rsidR="00880026" w:rsidRDefault="00880026" w:rsidP="00880026">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4FBD0CD" w14:textId="77777777" w:rsidR="00D92455" w:rsidRDefault="00D92455" w:rsidP="00880026">
      <w:pPr>
        <w:spacing w:line="276" w:lineRule="auto"/>
        <w:jc w:val="both"/>
        <w:rPr>
          <w:rFonts w:ascii="Tahoma" w:hAnsi="Tahoma" w:cs="Tahoma"/>
          <w:sz w:val="20"/>
          <w:szCs w:val="20"/>
        </w:rPr>
      </w:pPr>
    </w:p>
    <w:p w14:paraId="0717E828" w14:textId="74567CBA" w:rsidR="003F5BE6" w:rsidRPr="00880026" w:rsidRDefault="003F5BE6" w:rsidP="00880026">
      <w:pPr>
        <w:spacing w:line="276" w:lineRule="auto"/>
        <w:jc w:val="both"/>
        <w:rPr>
          <w:rFonts w:ascii="Tahoma" w:hAnsi="Tahoma" w:cs="Tahoma"/>
          <w:sz w:val="20"/>
          <w:szCs w:val="20"/>
        </w:rPr>
      </w:pPr>
      <w:r w:rsidRPr="00880026">
        <w:rPr>
          <w:rFonts w:ascii="Tahoma" w:hAnsi="Tahoma" w:cs="Tahoma"/>
          <w:b/>
          <w:sz w:val="20"/>
          <w:szCs w:val="20"/>
        </w:rPr>
        <w:t>Pooling</w:t>
      </w:r>
    </w:p>
    <w:p w14:paraId="3B3206BF" w14:textId="77777777" w:rsidR="003F5BE6" w:rsidRPr="00880026" w:rsidRDefault="003F5BE6" w:rsidP="003F5BE6">
      <w:pPr>
        <w:spacing w:line="276" w:lineRule="auto"/>
        <w:ind w:left="-142"/>
        <w:jc w:val="both"/>
        <w:rPr>
          <w:rFonts w:ascii="Tahoma" w:hAnsi="Tahoma" w:cs="Tahoma"/>
          <w:sz w:val="20"/>
          <w:szCs w:val="20"/>
        </w:rPr>
      </w:pPr>
      <w:r w:rsidRPr="00880026">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2E135436" w:rsidR="003F5BE6" w:rsidRPr="00880026" w:rsidRDefault="003F5BE6" w:rsidP="00976B60">
      <w:pPr>
        <w:pStyle w:val="Default"/>
        <w:numPr>
          <w:ilvl w:val="0"/>
          <w:numId w:val="5"/>
        </w:numPr>
        <w:ind w:left="567"/>
        <w:rPr>
          <w:rFonts w:ascii="Tahoma" w:hAnsi="Tahoma" w:cs="Tahoma"/>
          <w:sz w:val="20"/>
          <w:szCs w:val="20"/>
        </w:rPr>
      </w:pPr>
      <w:r w:rsidRPr="00880026">
        <w:rPr>
          <w:rFonts w:ascii="Tahoma" w:hAnsi="Tahoma" w:cs="Tahoma"/>
          <w:sz w:val="20"/>
          <w:szCs w:val="20"/>
        </w:rPr>
        <w:t>quality (including as appropriate: capability, expertise, past performance, availability of resources and proposed methods of undertaking the work</w:t>
      </w:r>
      <w:r w:rsidR="0048606F" w:rsidRPr="00880026">
        <w:rPr>
          <w:rFonts w:ascii="Tahoma" w:hAnsi="Tahoma" w:cs="Tahoma"/>
          <w:sz w:val="20"/>
          <w:szCs w:val="20"/>
        </w:rPr>
        <w:t>).</w:t>
      </w:r>
    </w:p>
    <w:p w14:paraId="01E5A3DC" w14:textId="77777777" w:rsidR="003F5BE6" w:rsidRPr="00880026" w:rsidRDefault="003F5BE6" w:rsidP="00976B60">
      <w:pPr>
        <w:pStyle w:val="Default"/>
        <w:numPr>
          <w:ilvl w:val="0"/>
          <w:numId w:val="5"/>
        </w:numPr>
        <w:ind w:left="567"/>
        <w:rPr>
          <w:rFonts w:ascii="Tahoma" w:hAnsi="Tahoma" w:cs="Tahoma"/>
          <w:sz w:val="20"/>
          <w:szCs w:val="20"/>
        </w:rPr>
      </w:pPr>
      <w:r w:rsidRPr="00880026">
        <w:rPr>
          <w:rFonts w:ascii="Tahoma" w:hAnsi="Tahoma" w:cs="Tahoma"/>
          <w:sz w:val="20"/>
          <w:szCs w:val="20"/>
        </w:rPr>
        <w:t>availability (including, without limitation, capacity to meet required deadlines and, where relevant, geographical location); and</w:t>
      </w:r>
    </w:p>
    <w:p w14:paraId="61CBF01C" w14:textId="77777777" w:rsidR="003F5BE6" w:rsidRPr="00880026" w:rsidRDefault="003F5BE6" w:rsidP="00976B60">
      <w:pPr>
        <w:pStyle w:val="Default"/>
        <w:numPr>
          <w:ilvl w:val="0"/>
          <w:numId w:val="5"/>
        </w:numPr>
        <w:ind w:left="567"/>
        <w:rPr>
          <w:rFonts w:ascii="Tahoma" w:hAnsi="Tahoma" w:cs="Tahoma"/>
          <w:sz w:val="20"/>
          <w:szCs w:val="20"/>
        </w:rPr>
      </w:pPr>
      <w:r w:rsidRPr="00880026">
        <w:rPr>
          <w:rFonts w:ascii="Tahoma" w:hAnsi="Tahoma" w:cs="Tahoma"/>
          <w:sz w:val="20"/>
          <w:szCs w:val="20"/>
        </w:rPr>
        <w:t>price.</w:t>
      </w:r>
    </w:p>
    <w:p w14:paraId="67C73D0F" w14:textId="225E3803" w:rsidR="003F5BE6" w:rsidRPr="00880026" w:rsidRDefault="003F5BE6" w:rsidP="003F5BE6">
      <w:pPr>
        <w:spacing w:line="276" w:lineRule="auto"/>
        <w:ind w:left="-142"/>
        <w:jc w:val="both"/>
        <w:rPr>
          <w:rFonts w:ascii="Tahoma" w:hAnsi="Tahoma" w:cs="Tahoma"/>
          <w:sz w:val="20"/>
          <w:szCs w:val="20"/>
        </w:rPr>
      </w:pPr>
      <w:r w:rsidRPr="00880026">
        <w:rPr>
          <w:rFonts w:ascii="Tahoma" w:hAnsi="Tahoma" w:cs="Tahoma"/>
          <w:sz w:val="20"/>
          <w:szCs w:val="20"/>
        </w:rPr>
        <w:lastRenderedPageBreak/>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48F4A352"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Prices are indicated in [</w:t>
      </w:r>
      <w:r w:rsidR="00880026">
        <w:rPr>
          <w:rFonts w:ascii="Tahoma" w:hAnsi="Tahoma" w:cs="Tahoma"/>
          <w:color w:val="000000"/>
          <w:sz w:val="20"/>
          <w:szCs w:val="20"/>
          <w:lang w:eastAsia="en-US"/>
        </w:rPr>
        <w:t>RSD Serbian dinars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D571C7" w:rsidRPr="009F7522">
        <w:rPr>
          <w:rFonts w:ascii="Tahoma" w:hAnsi="Tahoma" w:cs="Tahoma"/>
          <w:b/>
          <w:color w:val="000000"/>
          <w:sz w:val="20"/>
          <w:szCs w:val="20"/>
          <w:lang w:eastAsia="en-US"/>
        </w:rPr>
        <w:t>Fees provided below already include travel and subsistence expenses.</w:t>
      </w:r>
      <w:r w:rsidR="00D571C7">
        <w:rPr>
          <w:rFonts w:ascii="Tahoma" w:hAnsi="Tahoma" w:cs="Tahoma"/>
          <w:b/>
          <w:color w:val="000000"/>
          <w:sz w:val="20"/>
          <w:szCs w:val="20"/>
          <w:lang w:eastAsia="en-US"/>
        </w:rPr>
        <w:t xml:space="preserve"> </w:t>
      </w:r>
      <w:r w:rsidRPr="00880026">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B2F7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4"/>
        <w:gridCol w:w="1333"/>
        <w:gridCol w:w="1493"/>
      </w:tblGrid>
      <w:tr w:rsidR="003F5BE6" w:rsidRPr="002A092A" w14:paraId="2585E0D7" w14:textId="77777777" w:rsidTr="0048606F">
        <w:trPr>
          <w:trHeight w:val="688"/>
        </w:trPr>
        <w:tc>
          <w:tcPr>
            <w:tcW w:w="7554"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3"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493"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48606F">
        <w:trPr>
          <w:trHeight w:val="771"/>
        </w:trPr>
        <w:tc>
          <w:tcPr>
            <w:tcW w:w="7554" w:type="dxa"/>
            <w:tcBorders>
              <w:right w:val="single" w:sz="2" w:space="0" w:color="FF0000"/>
            </w:tcBorders>
            <w:shd w:val="clear" w:color="auto" w:fill="F2F2F2" w:themeFill="background1" w:themeFillShade="F2"/>
            <w:vAlign w:val="center"/>
          </w:tcPr>
          <w:p w14:paraId="1C0F6835" w14:textId="31C57ED6" w:rsidR="003F5BE6" w:rsidRPr="00BE5730" w:rsidRDefault="008E63FC" w:rsidP="00D92455">
            <w:pPr>
              <w:spacing w:line="276" w:lineRule="auto"/>
              <w:rPr>
                <w:rFonts w:ascii="Tahoma" w:hAnsi="Tahoma" w:cs="Tahoma"/>
                <w:sz w:val="18"/>
                <w:szCs w:val="18"/>
                <w:lang w:eastAsia="en-US"/>
              </w:rPr>
            </w:pPr>
            <w:r>
              <w:rPr>
                <w:rFonts w:ascii="Tahoma" w:hAnsi="Tahoma" w:cs="Tahoma"/>
                <w:sz w:val="18"/>
                <w:szCs w:val="18"/>
                <w:lang w:eastAsia="en-US"/>
              </w:rPr>
              <w:t>Daily fee for the p</w:t>
            </w:r>
            <w:r w:rsidR="00D92455" w:rsidRPr="00BE5730">
              <w:rPr>
                <w:rFonts w:ascii="Tahoma" w:hAnsi="Tahoma" w:cs="Tahoma"/>
                <w:sz w:val="18"/>
                <w:szCs w:val="18"/>
                <w:lang w:eastAsia="en-US"/>
              </w:rPr>
              <w:t xml:space="preserve">rovision of intellectual services </w:t>
            </w:r>
            <w:r>
              <w:rPr>
                <w:rFonts w:ascii="Tahoma" w:hAnsi="Tahoma" w:cs="Tahoma"/>
                <w:sz w:val="18"/>
                <w:szCs w:val="18"/>
                <w:lang w:eastAsia="en-US"/>
              </w:rPr>
              <w:t xml:space="preserve">as described in Section B. (Expected Deliverables) of the Terms of Reference </w:t>
            </w:r>
          </w:p>
        </w:tc>
        <w:tc>
          <w:tcPr>
            <w:tcW w:w="13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82109E9"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49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3067190B" w:rsidR="003F5BE6" w:rsidRPr="0048606F" w:rsidRDefault="0048606F" w:rsidP="00C61E37">
            <w:pPr>
              <w:spacing w:line="276" w:lineRule="auto"/>
              <w:ind w:left="-142" w:right="-91"/>
              <w:rPr>
                <w:rFonts w:ascii="Tahoma" w:hAnsi="Tahoma" w:cs="Tahoma"/>
                <w:sz w:val="18"/>
                <w:szCs w:val="18"/>
                <w:highlight w:val="yellow"/>
                <w:lang w:eastAsia="en-US"/>
              </w:rPr>
            </w:pPr>
            <w:r w:rsidRPr="0048606F">
              <w:rPr>
                <w:rFonts w:ascii="Tahoma" w:hAnsi="Tahoma" w:cs="Tahoma"/>
                <w:strike/>
                <w:sz w:val="18"/>
                <w:szCs w:val="18"/>
                <w:lang w:eastAsia="en-US"/>
              </w:rPr>
              <w:t xml:space="preserve"> </w:t>
            </w:r>
            <w:r w:rsidRPr="0048606F">
              <w:rPr>
                <w:rFonts w:ascii="Tahoma" w:hAnsi="Tahoma" w:cs="Tahoma"/>
                <w:sz w:val="18"/>
                <w:szCs w:val="18"/>
                <w:lang w:eastAsia="en-US"/>
              </w:rPr>
              <w:t xml:space="preserve">     </w:t>
            </w:r>
            <w:r w:rsidR="0069642D">
              <w:rPr>
                <w:rFonts w:ascii="Tahoma" w:hAnsi="Tahoma" w:cs="Tahoma"/>
                <w:sz w:val="18"/>
                <w:szCs w:val="18"/>
                <w:lang w:eastAsia="en-US"/>
              </w:rPr>
              <w:t>18 000</w:t>
            </w:r>
          </w:p>
        </w:tc>
      </w:tr>
    </w:tbl>
    <w:p w14:paraId="3C810C6E" w14:textId="40A2915B" w:rsidR="009E64B7" w:rsidRPr="00026E8A" w:rsidRDefault="009E64B7" w:rsidP="009E64B7">
      <w:pPr>
        <w:pBdr>
          <w:bottom w:val="single" w:sz="2" w:space="1" w:color="808080" w:themeColor="background1" w:themeShade="80"/>
        </w:pBd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1D4DE88E" w14:textId="77777777" w:rsidTr="00B37702">
        <w:tc>
          <w:tcPr>
            <w:tcW w:w="9105" w:type="dxa"/>
            <w:shd w:val="clear" w:color="auto" w:fill="DBE5F1" w:themeFill="accent1" w:themeFillTint="33"/>
            <w:vAlign w:val="center"/>
          </w:tcPr>
          <w:p w14:paraId="3DC6B40C" w14:textId="77777777" w:rsidR="009E64B7" w:rsidRPr="00880026" w:rsidRDefault="009E64B7" w:rsidP="00B37702">
            <w:pPr>
              <w:spacing w:before="120" w:after="120"/>
              <w:rPr>
                <w:rFonts w:ascii="Tahoma" w:hAnsi="Tahoma" w:cs="Tahoma"/>
                <w:sz w:val="20"/>
                <w:szCs w:val="20"/>
              </w:rPr>
            </w:pPr>
            <w:r w:rsidRPr="00880026">
              <w:rPr>
                <w:rFonts w:ascii="Tahoma" w:hAnsi="Tahoma" w:cs="Tahoma"/>
                <w:sz w:val="20"/>
                <w:szCs w:val="20"/>
              </w:rPr>
              <w:t>This Framework Contract</w:t>
            </w:r>
            <w:r w:rsidRPr="00880026">
              <w:rPr>
                <w:rFonts w:ascii="Tahoma" w:eastAsia="Calibri" w:hAnsi="Tahoma" w:cs="Tahoma"/>
                <w:sz w:val="20"/>
                <w:szCs w:val="20"/>
                <w:lang w:val="en-US" w:eastAsia="en-US"/>
              </w:rPr>
              <w:t xml:space="preserve"> takes effect as from the date of its signature by both parties</w:t>
            </w:r>
            <w:r w:rsidRPr="00880026">
              <w:rPr>
                <w:rFonts w:ascii="Tahoma" w:hAnsi="Tahoma" w:cs="Tahoma"/>
                <w:sz w:val="20"/>
                <w:szCs w:val="20"/>
              </w:rPr>
              <w:t xml:space="preserve"> and</w:t>
            </w:r>
            <w:r w:rsidRPr="00880026">
              <w:rPr>
                <w:rFonts w:ascii="Tahoma" w:hAnsi="Tahoma" w:cs="Tahoma"/>
                <w:color w:val="C00000"/>
                <w:sz w:val="20"/>
                <w:szCs w:val="20"/>
              </w:rPr>
              <w:t xml:space="preserve"> </w:t>
            </w:r>
            <w:r w:rsidRPr="00880026">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556383BE1B1149389CEBBDA50DA4F040"/>
              </w:placeholder>
              <w:date w:fullDate="2022-06-18T00:00:00Z">
                <w:dateFormat w:val="dd/MM/yyyy"/>
                <w:lid w:val="fr-FR"/>
                <w:storeMappedDataAs w:val="dateTime"/>
                <w:calendar w:val="gregorian"/>
              </w:date>
            </w:sdtPr>
            <w:sdtEndPr>
              <w:rPr>
                <w:rStyle w:val="Style71"/>
              </w:rPr>
            </w:sdtEndPr>
            <w:sdtContent>
              <w:p w14:paraId="0AF61345" w14:textId="6FE21F17" w:rsidR="009E64B7" w:rsidRPr="00880026" w:rsidRDefault="00880026" w:rsidP="00B37702">
                <w:pPr>
                  <w:spacing w:before="120" w:after="120"/>
                  <w:rPr>
                    <w:rFonts w:ascii="Tahoma" w:hAnsi="Tahoma" w:cs="Tahoma"/>
                    <w:sz w:val="20"/>
                    <w:szCs w:val="20"/>
                  </w:rPr>
                </w:pPr>
                <w:r w:rsidRPr="00880026">
                  <w:rPr>
                    <w:rStyle w:val="Style71"/>
                    <w:rFonts w:ascii="Tahoma" w:hAnsi="Tahoma" w:cs="Tahoma"/>
                    <w:szCs w:val="20"/>
                    <w:lang w:val="fr-FR"/>
                  </w:rPr>
                  <w:t>18/06/2022</w:t>
                </w:r>
              </w:p>
            </w:sdtContent>
          </w:sdt>
        </w:tc>
      </w:tr>
      <w:tr w:rsidR="009E64B7" w:rsidRPr="00026E8A" w14:paraId="5B32F2FB" w14:textId="77777777" w:rsidTr="00B37702">
        <w:tc>
          <w:tcPr>
            <w:tcW w:w="9105" w:type="dxa"/>
            <w:shd w:val="clear" w:color="auto" w:fill="DBE5F1" w:themeFill="accent1" w:themeFillTint="33"/>
            <w:vAlign w:val="center"/>
          </w:tcPr>
          <w:p w14:paraId="50DF42B0" w14:textId="77777777" w:rsidR="009E64B7" w:rsidRPr="00880026" w:rsidRDefault="009E64B7" w:rsidP="00B37702">
            <w:pPr>
              <w:spacing w:before="120" w:after="120"/>
              <w:rPr>
                <w:rFonts w:ascii="Tahoma" w:hAnsi="Tahoma" w:cs="Tahoma"/>
                <w:sz w:val="20"/>
                <w:szCs w:val="20"/>
              </w:rPr>
            </w:pPr>
            <w:r w:rsidRPr="00880026">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1886B6F9C41E43D58A20235BCC87E012"/>
              </w:placeholder>
              <w:date w:fullDate="2022-12-18T00:00:00Z">
                <w:dateFormat w:val="dd/MM/yyyy"/>
                <w:lid w:val="fr-FR"/>
                <w:storeMappedDataAs w:val="dateTime"/>
                <w:calendar w:val="gregorian"/>
              </w:date>
            </w:sdtPr>
            <w:sdtEndPr>
              <w:rPr>
                <w:rStyle w:val="Style71"/>
              </w:rPr>
            </w:sdtEndPr>
            <w:sdtContent>
              <w:p w14:paraId="200E2F22" w14:textId="42CD4F4E" w:rsidR="009E64B7" w:rsidRPr="00880026" w:rsidRDefault="00880026" w:rsidP="00B37702">
                <w:pPr>
                  <w:spacing w:before="120" w:after="120"/>
                  <w:rPr>
                    <w:rStyle w:val="Style71"/>
                    <w:rFonts w:ascii="Tahoma" w:hAnsi="Tahoma" w:cs="Tahoma"/>
                  </w:rPr>
                </w:pPr>
                <w:r w:rsidRPr="00880026">
                  <w:rPr>
                    <w:rStyle w:val="Style71"/>
                    <w:rFonts w:ascii="Tahoma" w:hAnsi="Tahoma" w:cs="Tahoma"/>
                    <w:szCs w:val="20"/>
                    <w:lang w:val="fr-FR"/>
                  </w:rPr>
                  <w:t>18/12/2022</w:t>
                </w:r>
              </w:p>
            </w:sdtContent>
          </w:sdt>
        </w:tc>
      </w:tr>
    </w:tbl>
    <w:p w14:paraId="4CA079E6" w14:textId="77777777" w:rsidR="009E64B7" w:rsidRPr="00026E8A" w:rsidRDefault="009E64B7" w:rsidP="009E64B7">
      <w:pPr>
        <w:pBdr>
          <w:bottom w:val="single" w:sz="2" w:space="0" w:color="808080" w:themeColor="background1" w:themeShade="80"/>
        </w:pBdr>
        <w:rPr>
          <w:rFonts w:ascii="Tahoma" w:hAnsi="Tahoma" w:cs="Tahoma"/>
          <w:b/>
          <w:highlight w:val="cyan"/>
        </w:rPr>
      </w:pPr>
    </w:p>
    <w:bookmarkEnd w:id="1"/>
    <w:bookmarkEnd w:id="2"/>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C232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5"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9"/>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A5D2" w14:textId="77777777" w:rsidR="00650D7C" w:rsidRDefault="00650D7C" w:rsidP="00D50F13">
      <w:r>
        <w:separator/>
      </w:r>
    </w:p>
  </w:endnote>
  <w:endnote w:type="continuationSeparator" w:id="0">
    <w:p w14:paraId="1BC12C70" w14:textId="77777777" w:rsidR="00650D7C" w:rsidRDefault="00650D7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122CCB5B" w:rsidR="00533AAF" w:rsidRPr="00AE2D2B" w:rsidRDefault="00880026" w:rsidP="004965C8">
          <w:pPr>
            <w:rPr>
              <w:rFonts w:ascii="Arial Narrow" w:hAnsi="Arial Narrow"/>
              <w:caps/>
              <w:color w:val="000000"/>
              <w:sz w:val="18"/>
              <w:szCs w:val="18"/>
              <w:highlight w:val="cyan"/>
            </w:rPr>
          </w:pPr>
          <w:r w:rsidRPr="00CE24A4">
            <w:rPr>
              <w:rFonts w:ascii="Tahoma" w:hAnsi="Tahoma" w:cs="Tahoma"/>
              <w:caps/>
              <w:color w:val="000000" w:themeColor="text1"/>
              <w:sz w:val="18"/>
              <w:szCs w:val="18"/>
            </w:rPr>
            <w:t>4708/2022/73</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808B" w14:textId="77777777" w:rsidR="00650D7C" w:rsidRDefault="00650D7C" w:rsidP="00D50F13">
      <w:r>
        <w:separator/>
      </w:r>
    </w:p>
  </w:footnote>
  <w:footnote w:type="continuationSeparator" w:id="0">
    <w:p w14:paraId="055B5C52" w14:textId="77777777" w:rsidR="00650D7C" w:rsidRDefault="00650D7C" w:rsidP="00D50F13">
      <w:r>
        <w:continuationSeparator/>
      </w:r>
    </w:p>
  </w:footnote>
  <w:footnote w:id="1">
    <w:p w14:paraId="6DD7F7A5" w14:textId="77777777" w:rsidR="00880026" w:rsidRPr="005C0824" w:rsidRDefault="00880026" w:rsidP="00880026">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41051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410511">
        <w:rPr>
          <w:rFonts w:ascii="Tahoma" w:hAnsi="Tahoma" w:cs="Tahoma"/>
          <w:sz w:val="18"/>
          <w:szCs w:val="18"/>
          <w:lang w:val="it-IT"/>
        </w:rPr>
        <w:t xml:space="preserve"> CM/Del/Dec(2010)1089/11.3 appendix 9 </w:t>
      </w:r>
      <w:hyperlink r:id="rId1" w:history="1">
        <w:r w:rsidRPr="0041051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53F6E"/>
    <w:multiLevelType w:val="hybridMultilevel"/>
    <w:tmpl w:val="31BA0192"/>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03C1A"/>
    <w:multiLevelType w:val="hybridMultilevel"/>
    <w:tmpl w:val="E04E993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77636"/>
    <w:multiLevelType w:val="hybridMultilevel"/>
    <w:tmpl w:val="0BA62000"/>
    <w:lvl w:ilvl="0" w:tplc="0C00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34"/>
  </w:num>
  <w:num w:numId="3">
    <w:abstractNumId w:val="35"/>
  </w:num>
  <w:num w:numId="4">
    <w:abstractNumId w:val="1"/>
  </w:num>
  <w:num w:numId="5">
    <w:abstractNumId w:val="4"/>
  </w:num>
  <w:num w:numId="6">
    <w:abstractNumId w:val="14"/>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9"/>
  </w:num>
  <w:num w:numId="11">
    <w:abstractNumId w:val="0"/>
  </w:num>
  <w:num w:numId="12">
    <w:abstractNumId w:val="16"/>
  </w:num>
  <w:num w:numId="13">
    <w:abstractNumId w:val="22"/>
  </w:num>
  <w:num w:numId="14">
    <w:abstractNumId w:val="33"/>
  </w:num>
  <w:num w:numId="15">
    <w:abstractNumId w:val="7"/>
  </w:num>
  <w:num w:numId="16">
    <w:abstractNumId w:val="32"/>
  </w:num>
  <w:num w:numId="17">
    <w:abstractNumId w:val="26"/>
  </w:num>
  <w:num w:numId="18">
    <w:abstractNumId w:val="20"/>
  </w:num>
  <w:num w:numId="19">
    <w:abstractNumId w:val="17"/>
  </w:num>
  <w:num w:numId="20">
    <w:abstractNumId w:val="5"/>
  </w:num>
  <w:num w:numId="21">
    <w:abstractNumId w:val="15"/>
  </w:num>
  <w:num w:numId="22">
    <w:abstractNumId w:val="8"/>
  </w:num>
  <w:num w:numId="23">
    <w:abstractNumId w:val="6"/>
  </w:num>
  <w:num w:numId="24">
    <w:abstractNumId w:val="30"/>
  </w:num>
  <w:num w:numId="25">
    <w:abstractNumId w:val="23"/>
  </w:num>
  <w:num w:numId="26">
    <w:abstractNumId w:val="2"/>
  </w:num>
  <w:num w:numId="27">
    <w:abstractNumId w:val="9"/>
  </w:num>
  <w:num w:numId="28">
    <w:abstractNumId w:val="12"/>
  </w:num>
  <w:num w:numId="29">
    <w:abstractNumId w:val="37"/>
  </w:num>
  <w:num w:numId="30">
    <w:abstractNumId w:val="10"/>
  </w:num>
  <w:num w:numId="31">
    <w:abstractNumId w:val="27"/>
  </w:num>
  <w:num w:numId="32">
    <w:abstractNumId w:val="3"/>
  </w:num>
  <w:num w:numId="33">
    <w:abstractNumId w:val="28"/>
  </w:num>
  <w:num w:numId="34">
    <w:abstractNumId w:val="25"/>
  </w:num>
  <w:num w:numId="35">
    <w:abstractNumId w:val="13"/>
  </w:num>
  <w:num w:numId="36">
    <w:abstractNumId w:val="24"/>
  </w:num>
  <w:num w:numId="37">
    <w:abstractNumId w:val="31"/>
  </w:num>
  <w:num w:numId="38">
    <w:abstractNumId w:val="38"/>
  </w:num>
  <w:num w:numId="39">
    <w:abstractNumId w:val="18"/>
  </w:num>
  <w:num w:numId="4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0453F"/>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97129"/>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7C9"/>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0511"/>
    <w:rsid w:val="004121E2"/>
    <w:rsid w:val="00415503"/>
    <w:rsid w:val="00420E9A"/>
    <w:rsid w:val="0042562D"/>
    <w:rsid w:val="00425C56"/>
    <w:rsid w:val="00432F42"/>
    <w:rsid w:val="00437926"/>
    <w:rsid w:val="00441D52"/>
    <w:rsid w:val="004470B4"/>
    <w:rsid w:val="00456407"/>
    <w:rsid w:val="0046282E"/>
    <w:rsid w:val="0046469D"/>
    <w:rsid w:val="004702E7"/>
    <w:rsid w:val="00472B44"/>
    <w:rsid w:val="004847B0"/>
    <w:rsid w:val="0048606F"/>
    <w:rsid w:val="004874F6"/>
    <w:rsid w:val="00487967"/>
    <w:rsid w:val="00487C30"/>
    <w:rsid w:val="00487FFD"/>
    <w:rsid w:val="00490018"/>
    <w:rsid w:val="00492214"/>
    <w:rsid w:val="00494C86"/>
    <w:rsid w:val="00495856"/>
    <w:rsid w:val="00497AEE"/>
    <w:rsid w:val="004A3080"/>
    <w:rsid w:val="004B0F2D"/>
    <w:rsid w:val="004B2022"/>
    <w:rsid w:val="004B3F9D"/>
    <w:rsid w:val="004C3551"/>
    <w:rsid w:val="004C4484"/>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0D7C"/>
    <w:rsid w:val="00653BB6"/>
    <w:rsid w:val="006558F9"/>
    <w:rsid w:val="00660256"/>
    <w:rsid w:val="00662182"/>
    <w:rsid w:val="00662FF0"/>
    <w:rsid w:val="006717A7"/>
    <w:rsid w:val="0067529C"/>
    <w:rsid w:val="006771B6"/>
    <w:rsid w:val="00680325"/>
    <w:rsid w:val="00687D63"/>
    <w:rsid w:val="006912CB"/>
    <w:rsid w:val="0069642D"/>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A7361"/>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76FF6"/>
    <w:rsid w:val="00880026"/>
    <w:rsid w:val="00883C2D"/>
    <w:rsid w:val="008871ED"/>
    <w:rsid w:val="00887B2A"/>
    <w:rsid w:val="00890F8A"/>
    <w:rsid w:val="00892D73"/>
    <w:rsid w:val="008A486B"/>
    <w:rsid w:val="008B3EEE"/>
    <w:rsid w:val="008B6FDD"/>
    <w:rsid w:val="008C754F"/>
    <w:rsid w:val="008D113B"/>
    <w:rsid w:val="008D3220"/>
    <w:rsid w:val="008E63FC"/>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141A"/>
    <w:rsid w:val="00BA355F"/>
    <w:rsid w:val="00BA535D"/>
    <w:rsid w:val="00BB11AE"/>
    <w:rsid w:val="00BB66CF"/>
    <w:rsid w:val="00BC30D7"/>
    <w:rsid w:val="00BC4242"/>
    <w:rsid w:val="00BD671C"/>
    <w:rsid w:val="00BD6B89"/>
    <w:rsid w:val="00BE13D6"/>
    <w:rsid w:val="00BE33D8"/>
    <w:rsid w:val="00BE5730"/>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1E37"/>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1D14"/>
    <w:rsid w:val="00CF59FB"/>
    <w:rsid w:val="00D04381"/>
    <w:rsid w:val="00D10FC0"/>
    <w:rsid w:val="00D11491"/>
    <w:rsid w:val="00D121FC"/>
    <w:rsid w:val="00D135C6"/>
    <w:rsid w:val="00D14044"/>
    <w:rsid w:val="00D14850"/>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71C7"/>
    <w:rsid w:val="00D73100"/>
    <w:rsid w:val="00D751E1"/>
    <w:rsid w:val="00D81B84"/>
    <w:rsid w:val="00D90F8E"/>
    <w:rsid w:val="00D92455"/>
    <w:rsid w:val="00DA7468"/>
    <w:rsid w:val="00DC3F97"/>
    <w:rsid w:val="00DD31EB"/>
    <w:rsid w:val="00DD4C16"/>
    <w:rsid w:val="00DE0239"/>
    <w:rsid w:val="00DF3BE0"/>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880026"/>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383BE1B1149389CEBBDA50DA4F040"/>
        <w:category>
          <w:name w:val="General"/>
          <w:gallery w:val="placeholder"/>
        </w:category>
        <w:types>
          <w:type w:val="bbPlcHdr"/>
        </w:types>
        <w:behaviors>
          <w:behavior w:val="content"/>
        </w:behaviors>
        <w:guid w:val="{B9CB33CB-D17D-4785-991D-11760704F34E}"/>
      </w:docPartPr>
      <w:docPartBody>
        <w:p w:rsidR="00517F90" w:rsidRDefault="002E5240" w:rsidP="002E5240">
          <w:pPr>
            <w:pStyle w:val="556383BE1B1149389CEBBDA50DA4F040"/>
          </w:pPr>
          <w:r w:rsidRPr="00802563">
            <w:rPr>
              <w:rStyle w:val="PlaceholderText"/>
              <w:rFonts w:ascii="Arial Narrow" w:hAnsi="Arial Narrow"/>
              <w:sz w:val="20"/>
              <w:szCs w:val="20"/>
              <w:highlight w:val="cyan"/>
            </w:rPr>
            <w:t>date</w:t>
          </w:r>
        </w:p>
      </w:docPartBody>
    </w:docPart>
    <w:docPart>
      <w:docPartPr>
        <w:name w:val="1886B6F9C41E43D58A20235BCC87E012"/>
        <w:category>
          <w:name w:val="General"/>
          <w:gallery w:val="placeholder"/>
        </w:category>
        <w:types>
          <w:type w:val="bbPlcHdr"/>
        </w:types>
        <w:behaviors>
          <w:behavior w:val="content"/>
        </w:behaviors>
        <w:guid w:val="{5E796738-0E81-41A2-B36E-8FFD244A042F}"/>
      </w:docPartPr>
      <w:docPartBody>
        <w:p w:rsidR="00517F90" w:rsidRDefault="002E5240" w:rsidP="002E5240">
          <w:pPr>
            <w:pStyle w:val="1886B6F9C41E43D58A20235BCC87E01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3436A9"/>
    <w:rsid w:val="004463B8"/>
    <w:rsid w:val="00517F90"/>
    <w:rsid w:val="00624CFA"/>
    <w:rsid w:val="00864A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556383BE1B1149389CEBBDA50DA4F040">
    <w:name w:val="556383BE1B1149389CEBBDA50DA4F040"/>
    <w:rsid w:val="002E5240"/>
  </w:style>
  <w:style w:type="paragraph" w:customStyle="1" w:styleId="1886B6F9C41E43D58A20235BCC87E012">
    <w:name w:val="1886B6F9C41E43D58A20235BCC87E012"/>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6185</Words>
  <Characters>35257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KAHRIMANOVIC Vesna</cp:lastModifiedBy>
  <cp:revision>7</cp:revision>
  <cp:lastPrinted>2022-04-12T13:24:00Z</cp:lastPrinted>
  <dcterms:created xsi:type="dcterms:W3CDTF">2022-04-07T09:49:00Z</dcterms:created>
  <dcterms:modified xsi:type="dcterms:W3CDTF">2022-04-12T13:41:00Z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