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4AC9" w14:textId="0F2CA5BA" w:rsidR="007F5687" w:rsidRPr="00A45CA0" w:rsidRDefault="007F5687" w:rsidP="009D2022">
      <w:pPr>
        <w:ind w:left="540"/>
        <w:rPr>
          <w:rFonts w:ascii="Tahoma" w:hAnsi="Tahoma" w:cs="Tahoma"/>
          <w:lang w:val="sr-Cyrl-RS"/>
        </w:rPr>
      </w:pPr>
    </w:p>
    <w:p w14:paraId="006A33AC" w14:textId="77777777" w:rsidR="0030102B" w:rsidRPr="00A45CA0" w:rsidRDefault="0030102B" w:rsidP="0030102B">
      <w:pPr>
        <w:spacing w:after="240" w:line="240" w:lineRule="auto"/>
        <w:ind w:left="540" w:right="185"/>
        <w:rPr>
          <w:rFonts w:ascii="Tahoma" w:eastAsia="Times New Roman" w:hAnsi="Tahoma" w:cs="Tahoma"/>
          <w:b/>
          <w:color w:val="000000"/>
          <w:lang w:val="sr-Cyrl-RS"/>
        </w:rPr>
      </w:pPr>
    </w:p>
    <w:p w14:paraId="054CECE2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732851B2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6CD31CD2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7A058851" w14:textId="3994E392" w:rsidR="0030102B" w:rsidRPr="00A45CA0" w:rsidRDefault="00154A0B" w:rsidP="0030102B">
      <w:pPr>
        <w:spacing w:after="480" w:line="240" w:lineRule="auto"/>
        <w:ind w:left="540" w:right="185"/>
        <w:jc w:val="center"/>
        <w:rPr>
          <w:rFonts w:ascii="Tahoma" w:eastAsia="Times New Roman" w:hAnsi="Tahoma" w:cs="Tahoma"/>
          <w:b/>
          <w:sz w:val="28"/>
          <w:szCs w:val="28"/>
          <w:lang w:val="sr-Cyrl-RS"/>
        </w:rPr>
      </w:pPr>
      <w:r w:rsidRPr="00154A0B">
        <w:rPr>
          <w:rFonts w:ascii="Tahoma" w:eastAsia="Times New Roman" w:hAnsi="Tahoma" w:cs="Tahoma"/>
          <w:b/>
          <w:sz w:val="28"/>
          <w:szCs w:val="28"/>
          <w:lang w:val="sr-Cyrl-RS"/>
        </w:rPr>
        <w:t>PROGRAM</w:t>
      </w:r>
      <w:r w:rsidR="0030102B" w:rsidRPr="00A45CA0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EU EXCHANGE 6</w:t>
      </w:r>
    </w:p>
    <w:p w14:paraId="414B7826" w14:textId="4C18E76B" w:rsidR="0030102B" w:rsidRPr="00A45CA0" w:rsidRDefault="0030102B" w:rsidP="0030102B">
      <w:pPr>
        <w:pStyle w:val="ListParagraph"/>
        <w:ind w:left="1260"/>
        <w:jc w:val="center"/>
        <w:rPr>
          <w:rFonts w:ascii="Tahoma" w:eastAsia="Times New Roman" w:hAnsi="Tahoma" w:cs="Tahoma"/>
          <w:b/>
          <w:sz w:val="28"/>
          <w:szCs w:val="28"/>
          <w:lang w:val="sr-Cyrl-RS"/>
        </w:rPr>
      </w:pPr>
      <w:r w:rsidRPr="00A45CA0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-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Povećanje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kredibiliteta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planiranja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,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programskog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budžetiranja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i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kontrole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izvršenja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javnih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rashoda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na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lokalnom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nivou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u </w:t>
      </w:r>
      <w:proofErr w:type="spellStart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>Srbiji</w:t>
      </w:r>
      <w:proofErr w:type="spellEnd"/>
      <w:r w:rsidR="00D60FA7" w:rsidRPr="00D60FA7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 </w:t>
      </w:r>
      <w:r w:rsidRPr="00A45CA0">
        <w:rPr>
          <w:rFonts w:ascii="Tahoma" w:eastAsia="Times New Roman" w:hAnsi="Tahoma" w:cs="Tahoma"/>
          <w:b/>
          <w:sz w:val="28"/>
          <w:szCs w:val="28"/>
          <w:lang w:val="sr-Cyrl-RS"/>
        </w:rPr>
        <w:t>-</w:t>
      </w:r>
    </w:p>
    <w:p w14:paraId="074D12DD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32D95F95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5834B2EA" w14:textId="32E54E37" w:rsidR="0030102B" w:rsidRPr="00A45CA0" w:rsidRDefault="00D60FA7" w:rsidP="0030102B">
      <w:pPr>
        <w:spacing w:after="240"/>
        <w:ind w:left="539" w:right="187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D60FA7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SMERNICE</w:t>
      </w:r>
      <w:r w:rsidR="0030102B" w:rsidRPr="00A45CA0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</w:p>
    <w:p w14:paraId="120958C1" w14:textId="4F9CDD62" w:rsidR="0030102B" w:rsidRPr="00A45CA0" w:rsidRDefault="00877E93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lokalnim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samoupravama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za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podnošenje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prijava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po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Konkursu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za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dodelu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podrške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za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izradu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izveštaja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o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učincima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sprovođenja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plana</w:t>
      </w:r>
      <w:proofErr w:type="spellEnd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proofErr w:type="spellStart"/>
      <w:r w:rsidRPr="00877E93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razvoja</w:t>
      </w:r>
      <w:proofErr w:type="spellEnd"/>
    </w:p>
    <w:p w14:paraId="0B9E95CB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5DE550A1" w14:textId="77777777" w:rsidR="0030102B" w:rsidRPr="00A45CA0" w:rsidRDefault="0030102B" w:rsidP="0030102B">
      <w:pPr>
        <w:spacing w:after="240" w:line="240" w:lineRule="auto"/>
        <w:ind w:right="185"/>
        <w:rPr>
          <w:rFonts w:ascii="Tahoma" w:eastAsia="Times New Roman" w:hAnsi="Tahoma" w:cs="Tahoma"/>
          <w:b/>
          <w:color w:val="000000"/>
          <w:lang w:val="sr-Cyrl-RS"/>
        </w:rPr>
      </w:pPr>
    </w:p>
    <w:p w14:paraId="4153200F" w14:textId="77777777" w:rsidR="0030102B" w:rsidRPr="00A45CA0" w:rsidRDefault="0030102B" w:rsidP="0030102B">
      <w:pPr>
        <w:spacing w:after="240" w:line="240" w:lineRule="auto"/>
        <w:ind w:right="185"/>
        <w:rPr>
          <w:rFonts w:ascii="Tahoma" w:eastAsia="Times New Roman" w:hAnsi="Tahoma" w:cs="Tahoma"/>
          <w:b/>
          <w:color w:val="000000"/>
          <w:lang w:val="sr-Cyrl-RS"/>
        </w:rPr>
      </w:pPr>
    </w:p>
    <w:p w14:paraId="2D01A4AF" w14:textId="2D587DEC" w:rsidR="0030102B" w:rsidRPr="00A45CA0" w:rsidRDefault="0075300D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  <w:proofErr w:type="spellStart"/>
      <w:r w:rsidRPr="0075300D">
        <w:rPr>
          <w:rFonts w:ascii="Tahoma" w:eastAsia="Times New Roman" w:hAnsi="Tahoma" w:cs="Tahoma"/>
          <w:b/>
          <w:color w:val="000000"/>
          <w:lang w:val="sr-Cyrl-RS"/>
        </w:rPr>
        <w:t>Rok</w:t>
      </w:r>
      <w:proofErr w:type="spellEnd"/>
      <w:r w:rsidRPr="0075300D">
        <w:rPr>
          <w:rFonts w:ascii="Tahoma" w:eastAsia="Times New Roman" w:hAnsi="Tahoma" w:cs="Tahoma"/>
          <w:b/>
          <w:color w:val="000000"/>
          <w:lang w:val="sr-Cyrl-RS"/>
        </w:rPr>
        <w:t xml:space="preserve"> za </w:t>
      </w:r>
      <w:proofErr w:type="spellStart"/>
      <w:r w:rsidRPr="0075300D">
        <w:rPr>
          <w:rFonts w:ascii="Tahoma" w:eastAsia="Times New Roman" w:hAnsi="Tahoma" w:cs="Tahoma"/>
          <w:b/>
          <w:color w:val="000000"/>
          <w:lang w:val="sr-Cyrl-RS"/>
        </w:rPr>
        <w:t>dostavljanje</w:t>
      </w:r>
      <w:proofErr w:type="spellEnd"/>
      <w:r w:rsidRPr="0075300D">
        <w:rPr>
          <w:rFonts w:ascii="Tahoma" w:eastAsia="Times New Roman" w:hAnsi="Tahoma" w:cs="Tahoma"/>
          <w:b/>
          <w:color w:val="000000"/>
          <w:lang w:val="sr-Cyrl-RS"/>
        </w:rPr>
        <w:t xml:space="preserve"> </w:t>
      </w:r>
      <w:proofErr w:type="spellStart"/>
      <w:r w:rsidRPr="0075300D">
        <w:rPr>
          <w:rFonts w:ascii="Tahoma" w:eastAsia="Times New Roman" w:hAnsi="Tahoma" w:cs="Tahoma"/>
          <w:b/>
          <w:color w:val="000000"/>
          <w:lang w:val="sr-Cyrl-RS"/>
        </w:rPr>
        <w:t>prijava</w:t>
      </w:r>
      <w:proofErr w:type="spellEnd"/>
      <w:r w:rsidR="0030102B" w:rsidRPr="00A45CA0">
        <w:rPr>
          <w:rFonts w:ascii="Tahoma" w:eastAsia="Times New Roman" w:hAnsi="Tahoma" w:cs="Tahoma"/>
          <w:b/>
          <w:color w:val="000000"/>
          <w:lang w:val="sr-Cyrl-RS"/>
        </w:rPr>
        <w:t xml:space="preserve">: </w:t>
      </w:r>
      <w:r w:rsidR="00EB5EF3" w:rsidRPr="00FD76D3">
        <w:rPr>
          <w:rFonts w:ascii="Tahoma" w:eastAsia="Times New Roman" w:hAnsi="Tahoma" w:cs="Tahoma"/>
          <w:b/>
          <w:color w:val="000000"/>
          <w:lang w:val="fr-FR"/>
        </w:rPr>
        <w:t>1</w:t>
      </w:r>
      <w:r w:rsidR="002F405D" w:rsidRPr="00FD76D3">
        <w:rPr>
          <w:rFonts w:ascii="Tahoma" w:eastAsia="Times New Roman" w:hAnsi="Tahoma" w:cs="Tahoma"/>
          <w:b/>
          <w:color w:val="000000"/>
          <w:lang w:val="fr-FR"/>
        </w:rPr>
        <w:t>7</w:t>
      </w:r>
      <w:r w:rsidR="0030102B" w:rsidRPr="00FD76D3">
        <w:rPr>
          <w:rFonts w:ascii="Tahoma" w:eastAsia="Times New Roman" w:hAnsi="Tahoma" w:cs="Tahoma"/>
          <w:b/>
          <w:color w:val="000000"/>
          <w:lang w:val="sr-Cyrl-RS"/>
        </w:rPr>
        <w:t>.0</w:t>
      </w:r>
      <w:r w:rsidR="00736FC7" w:rsidRPr="00FD76D3">
        <w:rPr>
          <w:rFonts w:ascii="Tahoma" w:eastAsia="Times New Roman" w:hAnsi="Tahoma" w:cs="Tahoma"/>
          <w:b/>
          <w:color w:val="000000"/>
          <w:lang w:val="fr-FR"/>
        </w:rPr>
        <w:t>5</w:t>
      </w:r>
      <w:r w:rsidR="0030102B" w:rsidRPr="00FD76D3">
        <w:rPr>
          <w:rFonts w:ascii="Tahoma" w:eastAsia="Times New Roman" w:hAnsi="Tahoma" w:cs="Tahoma"/>
          <w:b/>
          <w:color w:val="000000"/>
          <w:lang w:val="sr-Cyrl-RS"/>
        </w:rPr>
        <w:t>.202</w:t>
      </w:r>
      <w:r w:rsidR="0030102B" w:rsidRPr="00FD76D3">
        <w:rPr>
          <w:rFonts w:ascii="Tahoma" w:eastAsia="Times New Roman" w:hAnsi="Tahoma" w:cs="Tahoma"/>
          <w:b/>
          <w:color w:val="000000"/>
          <w:lang w:val="sr-Latn-RS"/>
        </w:rPr>
        <w:t>4</w:t>
      </w:r>
      <w:r w:rsidR="0030102B" w:rsidRPr="00FD76D3">
        <w:rPr>
          <w:rFonts w:ascii="Tahoma" w:eastAsia="Times New Roman" w:hAnsi="Tahoma" w:cs="Tahoma"/>
          <w:b/>
          <w:color w:val="000000"/>
          <w:lang w:val="sr-Cyrl-RS"/>
        </w:rPr>
        <w:t>.</w:t>
      </w:r>
    </w:p>
    <w:p w14:paraId="3317A11F" w14:textId="77777777" w:rsidR="0030102B" w:rsidRPr="00A45CA0" w:rsidRDefault="0030102B" w:rsidP="0030102B">
      <w:pPr>
        <w:rPr>
          <w:rFonts w:ascii="Tahoma" w:hAnsi="Tahoma" w:cs="Tahoma"/>
          <w:lang w:val="sr-Cyrl-RS"/>
        </w:rPr>
      </w:pPr>
      <w:r w:rsidRPr="00A45CA0">
        <w:rPr>
          <w:rFonts w:ascii="Tahoma" w:hAnsi="Tahoma" w:cs="Tahoma"/>
          <w:lang w:val="sr-Cyrl-RS"/>
        </w:rPr>
        <w:br w:type="page"/>
      </w:r>
    </w:p>
    <w:p w14:paraId="2C8CEA0B" w14:textId="77777777" w:rsidR="0030102B" w:rsidRPr="00A45CA0" w:rsidRDefault="0030102B" w:rsidP="0030102B">
      <w:pPr>
        <w:rPr>
          <w:rFonts w:ascii="Tahoma" w:hAnsi="Tahoma" w:cs="Tahoma"/>
          <w:lang w:val="sr-Cyrl-RS"/>
        </w:rPr>
      </w:pPr>
    </w:p>
    <w:p w14:paraId="4DAF8ADE" w14:textId="77777777" w:rsidR="00BE0EA4" w:rsidRDefault="00BE0EA4" w:rsidP="00C35189">
      <w:pPr>
        <w:pStyle w:val="TOCHeading"/>
        <w:rPr>
          <w:rFonts w:ascii="Tahoma" w:eastAsia="Calibri" w:hAnsi="Tahoma" w:cs="Tahoma"/>
          <w:b/>
          <w:bCs/>
          <w:color w:val="auto"/>
          <w:sz w:val="24"/>
          <w:szCs w:val="24"/>
          <w:lang w:val="sr-Cyrl-RS"/>
        </w:rPr>
      </w:pPr>
      <w:r w:rsidRPr="00BE0EA4">
        <w:rPr>
          <w:rFonts w:ascii="Tahoma" w:eastAsia="Calibri" w:hAnsi="Tahoma" w:cs="Tahoma"/>
          <w:b/>
          <w:bCs/>
          <w:color w:val="auto"/>
          <w:sz w:val="24"/>
          <w:szCs w:val="24"/>
          <w:lang w:val="sr-Cyrl-RS"/>
        </w:rPr>
        <w:t xml:space="preserve">SADRŽAJ: </w:t>
      </w:r>
    </w:p>
    <w:sdt>
      <w:sdtPr>
        <w:rPr>
          <w:rFonts w:ascii="Tahoma" w:eastAsia="Calibri" w:hAnsi="Tahoma" w:cs="Tahoma"/>
          <w:color w:val="auto"/>
          <w:sz w:val="22"/>
          <w:szCs w:val="22"/>
          <w:lang w:val="sr-Cyrl-RS"/>
        </w:rPr>
        <w:id w:val="7820732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C1FFA4" w14:textId="719A760B" w:rsidR="0030102B" w:rsidRPr="00A45CA0" w:rsidRDefault="0030102B" w:rsidP="00C35189">
          <w:pPr>
            <w:pStyle w:val="TOCHeading"/>
            <w:rPr>
              <w:rFonts w:ascii="Tahoma" w:hAnsi="Tahoma" w:cs="Tahoma"/>
              <w:lang w:val="sr-Cyrl-RS"/>
            </w:rPr>
          </w:pPr>
          <w:r w:rsidRPr="00A45CA0">
            <w:rPr>
              <w:rFonts w:ascii="Tahoma" w:hAnsi="Tahoma" w:cs="Tahoma"/>
              <w:lang w:val="sr-Cyrl-RS"/>
            </w:rPr>
            <w:t xml:space="preserve"> </w:t>
          </w:r>
        </w:p>
        <w:p w14:paraId="5EEAD299" w14:textId="5A70B6B5" w:rsidR="00A2319D" w:rsidRDefault="0030102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r w:rsidRPr="00A45CA0">
            <w:rPr>
              <w:noProof w:val="0"/>
              <w:lang w:val="sr-Cyrl-RS"/>
            </w:rPr>
            <w:fldChar w:fldCharType="begin"/>
          </w:r>
          <w:r w:rsidRPr="00A45CA0">
            <w:rPr>
              <w:noProof w:val="0"/>
              <w:lang w:val="sr-Cyrl-RS"/>
            </w:rPr>
            <w:instrText xml:space="preserve"> TOC \o "1-3" \h \z \u </w:instrText>
          </w:r>
          <w:r w:rsidRPr="00A45CA0">
            <w:rPr>
              <w:noProof w:val="0"/>
              <w:lang w:val="sr-Cyrl-RS"/>
            </w:rPr>
            <w:fldChar w:fldCharType="separate"/>
          </w:r>
          <w:hyperlink w:anchor="_Toc163568014" w:history="1">
            <w:r w:rsidR="00A2319D" w:rsidRPr="0087273F">
              <w:rPr>
                <w:rStyle w:val="Hyperlink"/>
              </w:rPr>
              <w:t>1.</w:t>
            </w:r>
            <w:r w:rsidR="00A2319D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A2319D" w:rsidRPr="0087273F">
              <w:rPr>
                <w:rStyle w:val="Hyperlink"/>
              </w:rPr>
              <w:t>UVOD</w:t>
            </w:r>
            <w:r w:rsidR="00A2319D">
              <w:rPr>
                <w:webHidden/>
              </w:rPr>
              <w:tab/>
            </w:r>
            <w:r w:rsidR="00A2319D">
              <w:rPr>
                <w:webHidden/>
              </w:rPr>
              <w:fldChar w:fldCharType="begin"/>
            </w:r>
            <w:r w:rsidR="00A2319D">
              <w:rPr>
                <w:webHidden/>
              </w:rPr>
              <w:instrText xml:space="preserve"> PAGEREF _Toc163568014 \h </w:instrText>
            </w:r>
            <w:r w:rsidR="00A2319D">
              <w:rPr>
                <w:webHidden/>
              </w:rPr>
            </w:r>
            <w:r w:rsidR="00A2319D">
              <w:rPr>
                <w:webHidden/>
              </w:rPr>
              <w:fldChar w:fldCharType="separate"/>
            </w:r>
            <w:r w:rsidR="00A2319D">
              <w:rPr>
                <w:webHidden/>
              </w:rPr>
              <w:t>3</w:t>
            </w:r>
            <w:r w:rsidR="00A2319D">
              <w:rPr>
                <w:webHidden/>
              </w:rPr>
              <w:fldChar w:fldCharType="end"/>
            </w:r>
          </w:hyperlink>
        </w:p>
        <w:p w14:paraId="719E15EA" w14:textId="7528A27B" w:rsidR="00A2319D" w:rsidRDefault="00FD76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3568015" w:history="1">
            <w:r w:rsidR="00A2319D" w:rsidRPr="0087273F">
              <w:rPr>
                <w:rStyle w:val="Hyperlink"/>
              </w:rPr>
              <w:t>2.</w:t>
            </w:r>
            <w:r w:rsidR="00A2319D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A2319D" w:rsidRPr="0087273F">
              <w:rPr>
                <w:rStyle w:val="Hyperlink"/>
              </w:rPr>
              <w:t>KONKURS ZA LOKALNE SAMOUPRAVE ZA DODELU STRUČNE PODRŠKE ZA IZRADU IZVEŠTAJA O UČINCIMA SPROVOĐENjA PLANA RAZVOJA</w:t>
            </w:r>
            <w:r w:rsidR="00A2319D">
              <w:rPr>
                <w:webHidden/>
              </w:rPr>
              <w:tab/>
            </w:r>
            <w:r w:rsidR="00A2319D">
              <w:rPr>
                <w:webHidden/>
              </w:rPr>
              <w:fldChar w:fldCharType="begin"/>
            </w:r>
            <w:r w:rsidR="00A2319D">
              <w:rPr>
                <w:webHidden/>
              </w:rPr>
              <w:instrText xml:space="preserve"> PAGEREF _Toc163568015 \h </w:instrText>
            </w:r>
            <w:r w:rsidR="00A2319D">
              <w:rPr>
                <w:webHidden/>
              </w:rPr>
            </w:r>
            <w:r w:rsidR="00A2319D">
              <w:rPr>
                <w:webHidden/>
              </w:rPr>
              <w:fldChar w:fldCharType="separate"/>
            </w:r>
            <w:r w:rsidR="00A2319D">
              <w:rPr>
                <w:webHidden/>
              </w:rPr>
              <w:t>4</w:t>
            </w:r>
            <w:r w:rsidR="00A2319D">
              <w:rPr>
                <w:webHidden/>
              </w:rPr>
              <w:fldChar w:fldCharType="end"/>
            </w:r>
          </w:hyperlink>
        </w:p>
        <w:p w14:paraId="58BBA625" w14:textId="22DAD542" w:rsidR="00A2319D" w:rsidRDefault="00FD76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3568016" w:history="1">
            <w:r w:rsidR="00A2319D" w:rsidRPr="0087273F">
              <w:rPr>
                <w:rStyle w:val="Hyperlink"/>
              </w:rPr>
              <w:t>3.</w:t>
            </w:r>
            <w:r w:rsidR="00A2319D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A2319D" w:rsidRPr="0087273F">
              <w:rPr>
                <w:rStyle w:val="Hyperlink"/>
              </w:rPr>
              <w:t>PRAVILA KONKURSA</w:t>
            </w:r>
            <w:r w:rsidR="00A2319D">
              <w:rPr>
                <w:webHidden/>
              </w:rPr>
              <w:tab/>
            </w:r>
            <w:r w:rsidR="00A2319D">
              <w:rPr>
                <w:webHidden/>
              </w:rPr>
              <w:fldChar w:fldCharType="begin"/>
            </w:r>
            <w:r w:rsidR="00A2319D">
              <w:rPr>
                <w:webHidden/>
              </w:rPr>
              <w:instrText xml:space="preserve"> PAGEREF _Toc163568016 \h </w:instrText>
            </w:r>
            <w:r w:rsidR="00A2319D">
              <w:rPr>
                <w:webHidden/>
              </w:rPr>
            </w:r>
            <w:r w:rsidR="00A2319D">
              <w:rPr>
                <w:webHidden/>
              </w:rPr>
              <w:fldChar w:fldCharType="separate"/>
            </w:r>
            <w:r w:rsidR="00A2319D">
              <w:rPr>
                <w:webHidden/>
              </w:rPr>
              <w:t>5</w:t>
            </w:r>
            <w:r w:rsidR="00A2319D">
              <w:rPr>
                <w:webHidden/>
              </w:rPr>
              <w:fldChar w:fldCharType="end"/>
            </w:r>
          </w:hyperlink>
        </w:p>
        <w:p w14:paraId="31E1C843" w14:textId="396B2355" w:rsidR="00A2319D" w:rsidRDefault="00FD76D3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568017" w:history="1">
            <w:r w:rsidR="00A2319D" w:rsidRPr="0087273F">
              <w:rPr>
                <w:rStyle w:val="Hyperlink"/>
                <w:noProof/>
              </w:rPr>
              <w:t>3.1. Uslovi za konkurisanje</w:t>
            </w:r>
            <w:r w:rsidR="00A2319D">
              <w:rPr>
                <w:noProof/>
                <w:webHidden/>
              </w:rPr>
              <w:tab/>
            </w:r>
            <w:r w:rsidR="00A2319D">
              <w:rPr>
                <w:noProof/>
                <w:webHidden/>
              </w:rPr>
              <w:fldChar w:fldCharType="begin"/>
            </w:r>
            <w:r w:rsidR="00A2319D">
              <w:rPr>
                <w:noProof/>
                <w:webHidden/>
              </w:rPr>
              <w:instrText xml:space="preserve"> PAGEREF _Toc163568017 \h </w:instrText>
            </w:r>
            <w:r w:rsidR="00A2319D">
              <w:rPr>
                <w:noProof/>
                <w:webHidden/>
              </w:rPr>
            </w:r>
            <w:r w:rsidR="00A2319D">
              <w:rPr>
                <w:noProof/>
                <w:webHidden/>
              </w:rPr>
              <w:fldChar w:fldCharType="separate"/>
            </w:r>
            <w:r w:rsidR="00A2319D">
              <w:rPr>
                <w:noProof/>
                <w:webHidden/>
              </w:rPr>
              <w:t>5</w:t>
            </w:r>
            <w:r w:rsidR="00A2319D">
              <w:rPr>
                <w:noProof/>
                <w:webHidden/>
              </w:rPr>
              <w:fldChar w:fldCharType="end"/>
            </w:r>
          </w:hyperlink>
        </w:p>
        <w:p w14:paraId="3DCC7E9E" w14:textId="477DE22D" w:rsidR="00A2319D" w:rsidRDefault="00FD76D3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568018" w:history="1">
            <w:r w:rsidR="00A2319D" w:rsidRPr="0087273F">
              <w:rPr>
                <w:rStyle w:val="Hyperlink"/>
                <w:noProof/>
              </w:rPr>
              <w:t>3.2. Kako konkurisati i procedure koje treba ispoštovati</w:t>
            </w:r>
            <w:r w:rsidR="00A2319D">
              <w:rPr>
                <w:noProof/>
                <w:webHidden/>
              </w:rPr>
              <w:tab/>
            </w:r>
            <w:r w:rsidR="00A2319D">
              <w:rPr>
                <w:noProof/>
                <w:webHidden/>
              </w:rPr>
              <w:fldChar w:fldCharType="begin"/>
            </w:r>
            <w:r w:rsidR="00A2319D">
              <w:rPr>
                <w:noProof/>
                <w:webHidden/>
              </w:rPr>
              <w:instrText xml:space="preserve"> PAGEREF _Toc163568018 \h </w:instrText>
            </w:r>
            <w:r w:rsidR="00A2319D">
              <w:rPr>
                <w:noProof/>
                <w:webHidden/>
              </w:rPr>
            </w:r>
            <w:r w:rsidR="00A2319D">
              <w:rPr>
                <w:noProof/>
                <w:webHidden/>
              </w:rPr>
              <w:fldChar w:fldCharType="separate"/>
            </w:r>
            <w:r w:rsidR="00A2319D">
              <w:rPr>
                <w:noProof/>
                <w:webHidden/>
              </w:rPr>
              <w:t>5</w:t>
            </w:r>
            <w:r w:rsidR="00A2319D">
              <w:rPr>
                <w:noProof/>
                <w:webHidden/>
              </w:rPr>
              <w:fldChar w:fldCharType="end"/>
            </w:r>
          </w:hyperlink>
        </w:p>
        <w:p w14:paraId="692249CA" w14:textId="0BD856A7" w:rsidR="00A2319D" w:rsidRDefault="00FD76D3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568019" w:history="1">
            <w:r w:rsidR="00A2319D" w:rsidRPr="0087273F">
              <w:rPr>
                <w:rStyle w:val="Hyperlink"/>
                <w:noProof/>
              </w:rPr>
              <w:t>3.3. Na koji način poslati konkursnu dokumentaciju?</w:t>
            </w:r>
            <w:r w:rsidR="00A2319D">
              <w:rPr>
                <w:noProof/>
                <w:webHidden/>
              </w:rPr>
              <w:tab/>
            </w:r>
            <w:r w:rsidR="00A2319D">
              <w:rPr>
                <w:noProof/>
                <w:webHidden/>
              </w:rPr>
              <w:fldChar w:fldCharType="begin"/>
            </w:r>
            <w:r w:rsidR="00A2319D">
              <w:rPr>
                <w:noProof/>
                <w:webHidden/>
              </w:rPr>
              <w:instrText xml:space="preserve"> PAGEREF _Toc163568019 \h </w:instrText>
            </w:r>
            <w:r w:rsidR="00A2319D">
              <w:rPr>
                <w:noProof/>
                <w:webHidden/>
              </w:rPr>
            </w:r>
            <w:r w:rsidR="00A2319D">
              <w:rPr>
                <w:noProof/>
                <w:webHidden/>
              </w:rPr>
              <w:fldChar w:fldCharType="separate"/>
            </w:r>
            <w:r w:rsidR="00A2319D">
              <w:rPr>
                <w:noProof/>
                <w:webHidden/>
              </w:rPr>
              <w:t>6</w:t>
            </w:r>
            <w:r w:rsidR="00A2319D">
              <w:rPr>
                <w:noProof/>
                <w:webHidden/>
              </w:rPr>
              <w:fldChar w:fldCharType="end"/>
            </w:r>
          </w:hyperlink>
        </w:p>
        <w:p w14:paraId="6375B4C7" w14:textId="7F1D6056" w:rsidR="00A2319D" w:rsidRDefault="00FD76D3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568020" w:history="1">
            <w:r w:rsidR="00A2319D" w:rsidRPr="0087273F">
              <w:rPr>
                <w:rStyle w:val="Hyperlink"/>
                <w:noProof/>
              </w:rPr>
              <w:t>3.4. Rok za dostavljanje prijave</w:t>
            </w:r>
            <w:r w:rsidR="00A2319D">
              <w:rPr>
                <w:noProof/>
                <w:webHidden/>
              </w:rPr>
              <w:tab/>
            </w:r>
            <w:r w:rsidR="00A2319D">
              <w:rPr>
                <w:noProof/>
                <w:webHidden/>
              </w:rPr>
              <w:fldChar w:fldCharType="begin"/>
            </w:r>
            <w:r w:rsidR="00A2319D">
              <w:rPr>
                <w:noProof/>
                <w:webHidden/>
              </w:rPr>
              <w:instrText xml:space="preserve"> PAGEREF _Toc163568020 \h </w:instrText>
            </w:r>
            <w:r w:rsidR="00A2319D">
              <w:rPr>
                <w:noProof/>
                <w:webHidden/>
              </w:rPr>
            </w:r>
            <w:r w:rsidR="00A2319D">
              <w:rPr>
                <w:noProof/>
                <w:webHidden/>
              </w:rPr>
              <w:fldChar w:fldCharType="separate"/>
            </w:r>
            <w:r w:rsidR="00A2319D">
              <w:rPr>
                <w:noProof/>
                <w:webHidden/>
              </w:rPr>
              <w:t>6</w:t>
            </w:r>
            <w:r w:rsidR="00A2319D">
              <w:rPr>
                <w:noProof/>
                <w:webHidden/>
              </w:rPr>
              <w:fldChar w:fldCharType="end"/>
            </w:r>
          </w:hyperlink>
        </w:p>
        <w:p w14:paraId="35A533CC" w14:textId="59D2E152" w:rsidR="00A2319D" w:rsidRDefault="00FD76D3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568021" w:history="1">
            <w:r w:rsidR="00A2319D" w:rsidRPr="0087273F">
              <w:rPr>
                <w:rStyle w:val="Hyperlink"/>
                <w:noProof/>
                <w:lang w:val="sr-Cyrl-RS"/>
              </w:rPr>
              <w:t xml:space="preserve">3.5. </w:t>
            </w:r>
            <w:r w:rsidR="00A2319D" w:rsidRPr="0087273F">
              <w:rPr>
                <w:rStyle w:val="Hyperlink"/>
                <w:noProof/>
              </w:rPr>
              <w:t>Dodatne informacije  u vezi sa konkursnom dokumentacijom</w:t>
            </w:r>
            <w:r w:rsidR="00A2319D">
              <w:rPr>
                <w:noProof/>
                <w:webHidden/>
              </w:rPr>
              <w:tab/>
            </w:r>
            <w:r w:rsidR="00A2319D">
              <w:rPr>
                <w:noProof/>
                <w:webHidden/>
              </w:rPr>
              <w:fldChar w:fldCharType="begin"/>
            </w:r>
            <w:r w:rsidR="00A2319D">
              <w:rPr>
                <w:noProof/>
                <w:webHidden/>
              </w:rPr>
              <w:instrText xml:space="preserve"> PAGEREF _Toc163568021 \h </w:instrText>
            </w:r>
            <w:r w:rsidR="00A2319D">
              <w:rPr>
                <w:noProof/>
                <w:webHidden/>
              </w:rPr>
            </w:r>
            <w:r w:rsidR="00A2319D">
              <w:rPr>
                <w:noProof/>
                <w:webHidden/>
              </w:rPr>
              <w:fldChar w:fldCharType="separate"/>
            </w:r>
            <w:r w:rsidR="00A2319D">
              <w:rPr>
                <w:noProof/>
                <w:webHidden/>
              </w:rPr>
              <w:t>6</w:t>
            </w:r>
            <w:r w:rsidR="00A2319D">
              <w:rPr>
                <w:noProof/>
                <w:webHidden/>
              </w:rPr>
              <w:fldChar w:fldCharType="end"/>
            </w:r>
          </w:hyperlink>
        </w:p>
        <w:p w14:paraId="1DC0FC77" w14:textId="6D662559" w:rsidR="00A2319D" w:rsidRDefault="00FD76D3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568022" w:history="1">
            <w:r w:rsidR="00A2319D" w:rsidRPr="0087273F">
              <w:rPr>
                <w:rStyle w:val="Hyperlink"/>
                <w:noProof/>
              </w:rPr>
              <w:t>3.6. Proces evaluacije i selekcije prijava</w:t>
            </w:r>
            <w:r w:rsidR="00A2319D">
              <w:rPr>
                <w:noProof/>
                <w:webHidden/>
              </w:rPr>
              <w:tab/>
            </w:r>
            <w:r w:rsidR="00A2319D">
              <w:rPr>
                <w:noProof/>
                <w:webHidden/>
              </w:rPr>
              <w:fldChar w:fldCharType="begin"/>
            </w:r>
            <w:r w:rsidR="00A2319D">
              <w:rPr>
                <w:noProof/>
                <w:webHidden/>
              </w:rPr>
              <w:instrText xml:space="preserve"> PAGEREF _Toc163568022 \h </w:instrText>
            </w:r>
            <w:r w:rsidR="00A2319D">
              <w:rPr>
                <w:noProof/>
                <w:webHidden/>
              </w:rPr>
            </w:r>
            <w:r w:rsidR="00A2319D">
              <w:rPr>
                <w:noProof/>
                <w:webHidden/>
              </w:rPr>
              <w:fldChar w:fldCharType="separate"/>
            </w:r>
            <w:r w:rsidR="00A2319D">
              <w:rPr>
                <w:noProof/>
                <w:webHidden/>
              </w:rPr>
              <w:t>6</w:t>
            </w:r>
            <w:r w:rsidR="00A2319D">
              <w:rPr>
                <w:noProof/>
                <w:webHidden/>
              </w:rPr>
              <w:fldChar w:fldCharType="end"/>
            </w:r>
          </w:hyperlink>
        </w:p>
        <w:p w14:paraId="0FA23587" w14:textId="4B9448B4" w:rsidR="00A2319D" w:rsidRDefault="00FD76D3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568023" w:history="1">
            <w:r w:rsidR="00A2319D" w:rsidRPr="0087273F">
              <w:rPr>
                <w:rStyle w:val="Hyperlink"/>
                <w:noProof/>
              </w:rPr>
              <w:t>3.7. Okvirni kalendar</w:t>
            </w:r>
            <w:r w:rsidR="00A2319D">
              <w:rPr>
                <w:noProof/>
                <w:webHidden/>
              </w:rPr>
              <w:tab/>
            </w:r>
            <w:r w:rsidR="00A2319D">
              <w:rPr>
                <w:noProof/>
                <w:webHidden/>
              </w:rPr>
              <w:fldChar w:fldCharType="begin"/>
            </w:r>
            <w:r w:rsidR="00A2319D">
              <w:rPr>
                <w:noProof/>
                <w:webHidden/>
              </w:rPr>
              <w:instrText xml:space="preserve"> PAGEREF _Toc163568023 \h </w:instrText>
            </w:r>
            <w:r w:rsidR="00A2319D">
              <w:rPr>
                <w:noProof/>
                <w:webHidden/>
              </w:rPr>
            </w:r>
            <w:r w:rsidR="00A2319D">
              <w:rPr>
                <w:noProof/>
                <w:webHidden/>
              </w:rPr>
              <w:fldChar w:fldCharType="separate"/>
            </w:r>
            <w:r w:rsidR="00A2319D">
              <w:rPr>
                <w:noProof/>
                <w:webHidden/>
              </w:rPr>
              <w:t>9</w:t>
            </w:r>
            <w:r w:rsidR="00A2319D">
              <w:rPr>
                <w:noProof/>
                <w:webHidden/>
              </w:rPr>
              <w:fldChar w:fldCharType="end"/>
            </w:r>
          </w:hyperlink>
        </w:p>
        <w:p w14:paraId="492F4BEF" w14:textId="5CEC3CC8" w:rsidR="0030102B" w:rsidRPr="00A45CA0" w:rsidRDefault="0030102B" w:rsidP="0030102B">
          <w:pPr>
            <w:rPr>
              <w:rFonts w:ascii="Tahoma" w:hAnsi="Tahoma" w:cs="Tahoma"/>
              <w:lang w:val="sr-Cyrl-RS"/>
            </w:rPr>
          </w:pPr>
          <w:r w:rsidRPr="00A45CA0">
            <w:rPr>
              <w:rFonts w:ascii="Tahoma" w:hAnsi="Tahoma" w:cs="Tahoma"/>
              <w:b/>
              <w:bCs/>
              <w:lang w:val="sr-Cyrl-RS"/>
            </w:rPr>
            <w:fldChar w:fldCharType="end"/>
          </w:r>
        </w:p>
      </w:sdtContent>
    </w:sdt>
    <w:p w14:paraId="3680F068" w14:textId="77777777" w:rsidR="0030102B" w:rsidRPr="00A45CA0" w:rsidRDefault="0030102B" w:rsidP="0030102B">
      <w:pPr>
        <w:rPr>
          <w:rFonts w:ascii="Tahoma" w:hAnsi="Tahoma" w:cs="Tahoma"/>
          <w:lang w:val="sr-Cyrl-RS"/>
        </w:rPr>
      </w:pPr>
    </w:p>
    <w:p w14:paraId="0B93A4CB" w14:textId="77777777" w:rsidR="0030102B" w:rsidRPr="00A45CA0" w:rsidRDefault="0030102B" w:rsidP="0030102B">
      <w:pPr>
        <w:rPr>
          <w:rFonts w:ascii="Tahoma" w:hAnsi="Tahoma" w:cs="Tahoma"/>
          <w:lang w:val="sr-Cyrl-RS"/>
        </w:rPr>
      </w:pPr>
      <w:r w:rsidRPr="00A45CA0">
        <w:rPr>
          <w:rFonts w:ascii="Tahoma" w:hAnsi="Tahoma" w:cs="Tahoma"/>
          <w:lang w:val="sr-Cyrl-RS"/>
        </w:rPr>
        <w:br w:type="page"/>
      </w:r>
    </w:p>
    <w:p w14:paraId="3A25BF83" w14:textId="0477004A" w:rsidR="0030102B" w:rsidRPr="00A45CA0" w:rsidRDefault="00804FD8" w:rsidP="00C35189">
      <w:pPr>
        <w:pStyle w:val="Heading1"/>
      </w:pPr>
      <w:bookmarkStart w:id="0" w:name="_Toc163568014"/>
      <w:r w:rsidRPr="00804FD8">
        <w:lastRenderedPageBreak/>
        <w:t>UVOD</w:t>
      </w:r>
      <w:bookmarkEnd w:id="0"/>
    </w:p>
    <w:p w14:paraId="5D248BE7" w14:textId="77777777" w:rsidR="00224977" w:rsidRPr="00224977" w:rsidRDefault="00224977" w:rsidP="00224977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Program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EU Exchange 6 – „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Povećanje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kredibiliteta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planiranja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programskog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budžetiranja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kontrole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izvršenja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javnih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rashoda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lokalnom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nivou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Srbiji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“ –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finansira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Evropska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unija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(EU) 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okviru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nacionalnog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Programa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IPA 2019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sprovodi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režimu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direktnog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upravljanja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što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znači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Delegacija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EU 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Srbiji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ima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najznačajnija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upravljačka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ovlašćenja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Ključne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resorno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nadležne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institucije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nacionalnom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nivou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jesu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Ministarstvo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finansija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Republički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sekretarijat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za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javne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politike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uz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Ministarstvo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državne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uprave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lokalne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samouprave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Ministarstvo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za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evropske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integracije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Kao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prethodnim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fazama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Programa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Exchange, Stalna konferencija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gradova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opština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(SKGO)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ima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ulogu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implementacionog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partnera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neposredne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odgovornosti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pogledu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realizacije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planiranih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programskih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aktivnosti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.</w:t>
      </w:r>
    </w:p>
    <w:p w14:paraId="5E180824" w14:textId="77777777" w:rsidR="00224977" w:rsidRPr="00224977" w:rsidRDefault="00224977" w:rsidP="00224977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okviru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Programa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nastavlja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višegodišnji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rad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LS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unapređivanju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procesa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lokalnog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planiranja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realističnog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finansiranja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prioriteta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Program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fokusiran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pružanje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stručne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podrške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LS za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pravilnu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sveobuhvatnu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primenu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razvojnog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srednjoročnog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planiranja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kapitalnog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budžetiranja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transparentnog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upravljanja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budžetom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finansijskog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upravljanja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kontrole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interne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revizije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Koncipiran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tako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obuhvati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suštinski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povezane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oblasti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čiji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elementi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počinju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razvojnim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planiranjem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LS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nastavljaju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srednjoročnim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planiranjem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programskim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kapitalnim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budžetiranjem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budžetskom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transparentnošću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a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zaokružuju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internom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finansijskom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kontrolom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odgovornošću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javnom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sektoru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.</w:t>
      </w:r>
    </w:p>
    <w:p w14:paraId="6DCCA4F7" w14:textId="5AFAC24E" w:rsidR="0030102B" w:rsidRPr="00A45CA0" w:rsidRDefault="00224977" w:rsidP="00224977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pogledu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svih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komponenti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deo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aktivnosti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Programa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dizajniran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tako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obuhvata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sve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lokalne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samouprave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Srbiji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kroz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izgradnju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kapaciteta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realizaciju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akreditovanih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obuka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umrežavanje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kontinuiranu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savetodavnu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podršku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dok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direktna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pomoć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predviđena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za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ograničen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broj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gradova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opština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izabranih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konkursima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za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konkretnu</w:t>
      </w:r>
      <w:proofErr w:type="spellEnd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224977">
        <w:rPr>
          <w:rFonts w:ascii="Tahoma" w:hAnsi="Tahoma" w:cs="Tahoma"/>
          <w:color w:val="000000"/>
          <w:sz w:val="22"/>
          <w:szCs w:val="22"/>
          <w:lang w:val="sr-Cyrl-RS"/>
        </w:rPr>
        <w:t>podrš</w:t>
      </w:r>
      <w:r>
        <w:rPr>
          <w:rFonts w:ascii="Tahoma" w:hAnsi="Tahoma" w:cs="Tahoma"/>
          <w:color w:val="000000"/>
          <w:sz w:val="22"/>
          <w:szCs w:val="22"/>
          <w:lang w:val="en-GB"/>
        </w:rPr>
        <w:t>ku</w:t>
      </w:r>
      <w:proofErr w:type="spellEnd"/>
      <w:r w:rsidR="0030102B" w:rsidRPr="00A45CA0">
        <w:rPr>
          <w:rStyle w:val="FootnoteReference"/>
          <w:rFonts w:ascii="Tahoma" w:hAnsi="Tahoma" w:cs="Tahoma"/>
          <w:sz w:val="22"/>
          <w:szCs w:val="22"/>
          <w:lang w:val="sr-Cyrl-RS"/>
        </w:rPr>
        <w:footnoteReference w:id="1"/>
      </w:r>
      <w:r w:rsidR="0030102B" w:rsidRPr="00A45CA0">
        <w:rPr>
          <w:rFonts w:ascii="Tahoma" w:hAnsi="Tahoma" w:cs="Tahoma"/>
          <w:color w:val="000000"/>
          <w:sz w:val="22"/>
          <w:szCs w:val="22"/>
          <w:lang w:val="sr-Cyrl-RS"/>
        </w:rPr>
        <w:t>.</w:t>
      </w:r>
    </w:p>
    <w:p w14:paraId="40707340" w14:textId="77777777" w:rsidR="00B71FDB" w:rsidRPr="008C77A8" w:rsidRDefault="00B71FDB" w:rsidP="0030102B">
      <w:pPr>
        <w:pStyle w:val="basic-paragraph"/>
        <w:jc w:val="both"/>
        <w:rPr>
          <w:rFonts w:ascii="Tahoma" w:hAnsi="Tahoma" w:cs="Tahoma"/>
          <w:i/>
          <w:iCs/>
          <w:color w:val="000000"/>
          <w:sz w:val="22"/>
          <w:szCs w:val="22"/>
          <w:u w:val="single"/>
          <w:lang w:val="sr-Cyrl-RS"/>
        </w:rPr>
      </w:pPr>
      <w:bookmarkStart w:id="1" w:name="_Hlk161390257"/>
      <w:proofErr w:type="spellStart"/>
      <w:r w:rsidRPr="000770F3">
        <w:rPr>
          <w:rFonts w:ascii="Tahoma" w:hAnsi="Tahoma" w:cs="Tahoma"/>
          <w:i/>
          <w:iCs/>
          <w:color w:val="000000"/>
          <w:sz w:val="22"/>
          <w:szCs w:val="22"/>
          <w:u w:val="single"/>
          <w:lang w:val="sr-Cyrl-RS"/>
        </w:rPr>
        <w:t>Kontekst</w:t>
      </w:r>
      <w:proofErr w:type="spellEnd"/>
      <w:r w:rsidRPr="000770F3">
        <w:rPr>
          <w:rFonts w:ascii="Tahoma" w:hAnsi="Tahoma" w:cs="Tahoma"/>
          <w:i/>
          <w:iCs/>
          <w:color w:val="000000"/>
          <w:sz w:val="22"/>
          <w:szCs w:val="22"/>
          <w:u w:val="single"/>
          <w:lang w:val="sr-Cyrl-RS"/>
        </w:rPr>
        <w:t xml:space="preserve"> </w:t>
      </w:r>
      <w:proofErr w:type="spellStart"/>
      <w:r w:rsidRPr="000770F3">
        <w:rPr>
          <w:rFonts w:ascii="Tahoma" w:hAnsi="Tahoma" w:cs="Tahoma"/>
          <w:i/>
          <w:iCs/>
          <w:color w:val="000000"/>
          <w:sz w:val="22"/>
          <w:szCs w:val="22"/>
          <w:u w:val="single"/>
          <w:lang w:val="sr-Cyrl-RS"/>
        </w:rPr>
        <w:t>podrške</w:t>
      </w:r>
      <w:proofErr w:type="spellEnd"/>
    </w:p>
    <w:p w14:paraId="0D219982" w14:textId="05B50A61" w:rsidR="0030102B" w:rsidRPr="00A45CA0" w:rsidRDefault="00D80682" w:rsidP="0030102B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Usvajanje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Zakona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o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planskom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sistemu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("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Sl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glasnik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RS",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br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. 30/2018)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pratećih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Uredbi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tokom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perioda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2018-2020.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godine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predstavljalo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prekretnicu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dugo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očekivano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referentno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merilo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za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reformu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javne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uprave,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otvarajući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novo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poglavlje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konsolidaciji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koordinacije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javnih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politika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povezanog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finansijskog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planiranja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izvršenja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budžeta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odgovornosti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pogledu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trošenja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sredstava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Time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prvi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put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uveden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koherentan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pravni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okvir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za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razvojno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srednjoročno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planiranje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koordinaciju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javnih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politika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skladu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budžetskim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sistemom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Reformski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zahtevi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primena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prateće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metodologije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za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razvojno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srednjoročno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planiranje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postali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obavezni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za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lokalnu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samoupravu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svega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ogledaju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pripremi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usvajanju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sprovođenju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izveštavanju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o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sprovođenju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planskih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dokumenta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,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to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razvoja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srednjoročnog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Zakonom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jasno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propisana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obaveza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gradova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opština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da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najpre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usvoje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razvoja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kao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sveobuhvatni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planski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dokument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trajanju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od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najmanje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7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godina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, a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potom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da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krenu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u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proces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srednjoročnog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planiranja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(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kako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bi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omogućilo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povezivanje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javnih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politika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srednjoročnim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okvirom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rashoda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ciljevima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i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indikatorima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na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odgovarajućim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nivoima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programske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strukture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utemeljenim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na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postojećim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planskim</w:t>
      </w:r>
      <w:proofErr w:type="spellEnd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D80682">
        <w:rPr>
          <w:rFonts w:ascii="Tahoma" w:hAnsi="Tahoma" w:cs="Tahoma"/>
          <w:color w:val="000000"/>
          <w:sz w:val="22"/>
          <w:szCs w:val="22"/>
          <w:lang w:val="sr-Cyrl-RS"/>
        </w:rPr>
        <w:t>dokumentima</w:t>
      </w:r>
      <w:proofErr w:type="spellEnd"/>
      <w:r w:rsidR="0030102B" w:rsidRPr="00A45CA0">
        <w:rPr>
          <w:rFonts w:ascii="Tahoma" w:hAnsi="Tahoma" w:cs="Tahoma"/>
          <w:color w:val="000000"/>
          <w:sz w:val="22"/>
          <w:szCs w:val="22"/>
          <w:lang w:val="sr-Cyrl-RS"/>
        </w:rPr>
        <w:t xml:space="preserve">). </w:t>
      </w:r>
    </w:p>
    <w:bookmarkEnd w:id="1"/>
    <w:p w14:paraId="25093878" w14:textId="765D696B" w:rsidR="00186EB0" w:rsidRPr="008C77A8" w:rsidRDefault="004B00A5" w:rsidP="00C0787A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Izrada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, i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zatim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praćenje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sprovođenja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srednjoročnog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plana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(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koji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usklađen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planom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razvoja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)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utoliko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važnije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-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što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Zakonom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upravo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u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slučaju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LS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propisano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da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o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planu</w:t>
      </w:r>
      <w:proofErr w:type="spellEnd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razvoja</w:t>
      </w:r>
      <w:proofErr w:type="spellEnd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izveštava</w:t>
      </w:r>
      <w:proofErr w:type="spellEnd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na</w:t>
      </w:r>
      <w:proofErr w:type="spellEnd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godišnjem</w:t>
      </w:r>
      <w:proofErr w:type="spellEnd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nivou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kroz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izradu</w:t>
      </w:r>
      <w:proofErr w:type="spellEnd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izveštaja</w:t>
      </w:r>
      <w:proofErr w:type="spellEnd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 o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sprovođenju</w:t>
      </w:r>
      <w:proofErr w:type="spellEnd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srednjoročnog</w:t>
      </w:r>
      <w:proofErr w:type="spellEnd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 xml:space="preserve"> </w:t>
      </w:r>
      <w:proofErr w:type="spellStart"/>
      <w:r w:rsidRPr="00A978E1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plana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Namera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zakonodavca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je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dakle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da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lastRenderedPageBreak/>
        <w:t>se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sprovođenje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plana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razvoja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LS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na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godišnjem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nivou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prati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posredstvom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izveštaja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o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sprovođenju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srednjoročnog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plana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LS,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tj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.,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da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ne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izrađuje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zaseban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godišnji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izveštaj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o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sprovođenju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plana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proofErr w:type="spellStart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razvoja</w:t>
      </w:r>
      <w:proofErr w:type="spellEnd"/>
      <w:r w:rsidRPr="004B00A5">
        <w:rPr>
          <w:rFonts w:ascii="Tahoma" w:hAnsi="Tahoma" w:cs="Tahoma"/>
          <w:color w:val="000000"/>
          <w:sz w:val="22"/>
          <w:szCs w:val="22"/>
          <w:lang w:val="sr-Cyrl-RS"/>
        </w:rPr>
        <w:t>.</w:t>
      </w:r>
    </w:p>
    <w:p w14:paraId="0327A95E" w14:textId="009D82ED" w:rsidR="0030102B" w:rsidRPr="00A45CA0" w:rsidRDefault="00093B6E" w:rsidP="00C0787A">
      <w:pPr>
        <w:pStyle w:val="basic-paragraph"/>
        <w:jc w:val="both"/>
        <w:rPr>
          <w:rFonts w:ascii="Tahoma" w:eastAsia="Calibri" w:hAnsi="Tahoma" w:cs="Tahoma"/>
          <w:sz w:val="22"/>
          <w:szCs w:val="22"/>
          <w:lang w:val="sr-Cyrl-RS"/>
        </w:rPr>
      </w:pP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Zaseban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postupak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izveštavanja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u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vezi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sa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planom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razvoja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predviđen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je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međutim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za </w:t>
      </w:r>
      <w:proofErr w:type="spellStart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>izveštavanje</w:t>
      </w:r>
      <w:proofErr w:type="spellEnd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 xml:space="preserve"> o </w:t>
      </w:r>
      <w:proofErr w:type="spellStart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>učincima</w:t>
      </w:r>
      <w:proofErr w:type="spellEnd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 xml:space="preserve"> i </w:t>
      </w:r>
      <w:proofErr w:type="spellStart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>to</w:t>
      </w:r>
      <w:proofErr w:type="spellEnd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proofErr w:type="spellStart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>na</w:t>
      </w:r>
      <w:proofErr w:type="spellEnd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proofErr w:type="spellStart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>trogodišnjem</w:t>
      </w:r>
      <w:proofErr w:type="spellEnd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proofErr w:type="spellStart"/>
      <w:r w:rsidRPr="00C0237D">
        <w:rPr>
          <w:rFonts w:ascii="Tahoma" w:hAnsi="Tahoma" w:cs="Tahoma"/>
          <w:b/>
          <w:bCs/>
          <w:sz w:val="22"/>
          <w:szCs w:val="22"/>
          <w:lang w:val="sr-Cyrl-RS"/>
        </w:rPr>
        <w:t>nivou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.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Zakonom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je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jasno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propisano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da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istekom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svake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treće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kalendarske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godine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od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donošenja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plana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razvoja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,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veće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LS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utvrđuje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>predlog</w:t>
      </w:r>
      <w:proofErr w:type="spellEnd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proofErr w:type="spellStart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>izveštaja</w:t>
      </w:r>
      <w:proofErr w:type="spellEnd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 xml:space="preserve"> o </w:t>
      </w:r>
      <w:proofErr w:type="spellStart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>učincima</w:t>
      </w:r>
      <w:proofErr w:type="spellEnd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proofErr w:type="spellStart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>sprovođenja</w:t>
      </w:r>
      <w:proofErr w:type="spellEnd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proofErr w:type="spellStart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>plana</w:t>
      </w:r>
      <w:proofErr w:type="spellEnd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proofErr w:type="spellStart"/>
      <w:r w:rsidRPr="00B810B4">
        <w:rPr>
          <w:rFonts w:ascii="Tahoma" w:hAnsi="Tahoma" w:cs="Tahoma"/>
          <w:b/>
          <w:bCs/>
          <w:sz w:val="22"/>
          <w:szCs w:val="22"/>
          <w:lang w:val="sr-Cyrl-RS"/>
        </w:rPr>
        <w:t>razvoja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,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koji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podnosi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na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usvajanje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skupštini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LS,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najkasnije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u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roku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od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šest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meseci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od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isteka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tog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093B6E">
        <w:rPr>
          <w:rFonts w:ascii="Tahoma" w:hAnsi="Tahoma" w:cs="Tahoma"/>
          <w:sz w:val="22"/>
          <w:szCs w:val="22"/>
          <w:lang w:val="sr-Cyrl-RS"/>
        </w:rPr>
        <w:t>roka</w:t>
      </w:r>
      <w:proofErr w:type="spellEnd"/>
      <w:r w:rsidRPr="00093B6E">
        <w:rPr>
          <w:rFonts w:ascii="Tahoma" w:hAnsi="Tahoma" w:cs="Tahoma"/>
          <w:sz w:val="22"/>
          <w:szCs w:val="22"/>
          <w:lang w:val="sr-Cyrl-RS"/>
        </w:rPr>
        <w:t>.</w:t>
      </w:r>
    </w:p>
    <w:p w14:paraId="23991A52" w14:textId="05238DA3" w:rsidR="0030102B" w:rsidRPr="00A45CA0" w:rsidRDefault="00A64373" w:rsidP="00C35189">
      <w:pPr>
        <w:pStyle w:val="Heading1"/>
        <w:rPr>
          <w:noProof w:val="0"/>
        </w:rPr>
      </w:pPr>
      <w:bookmarkStart w:id="2" w:name="_Toc163568015"/>
      <w:r w:rsidRPr="00A64373">
        <w:t>KONKURS ZA LOKALNE SAMOUPRAVE ZA DODELU STRUČNE PODRŠKE ZA IZRADU IZVEŠTAJA O UČINCIMA SPROVOĐENjA PLANA RAZVOJA</w:t>
      </w:r>
      <w:bookmarkEnd w:id="2"/>
    </w:p>
    <w:p w14:paraId="67C2FF9A" w14:textId="3B9836D7" w:rsidR="002C600E" w:rsidRDefault="00223458" w:rsidP="0030102B">
      <w:pPr>
        <w:jc w:val="both"/>
        <w:rPr>
          <w:rFonts w:ascii="Tahoma" w:hAnsi="Tahoma" w:cs="Tahoma"/>
          <w:lang w:val="sr-Latn-RS"/>
        </w:rPr>
      </w:pP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Ovaj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konkurs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oglašen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="002F405D" w:rsidRPr="00FD76D3">
        <w:rPr>
          <w:rFonts w:ascii="Tahoma" w:eastAsia="Times New Roman" w:hAnsi="Tahoma" w:cs="Tahoma"/>
          <w:color w:val="000000"/>
          <w:lang w:val="sr-Latn-CS"/>
        </w:rPr>
        <w:t>24</w:t>
      </w:r>
      <w:r w:rsidRPr="00FD76D3">
        <w:rPr>
          <w:rFonts w:ascii="Tahoma" w:eastAsia="Times New Roman" w:hAnsi="Tahoma" w:cs="Tahoma"/>
          <w:color w:val="000000"/>
          <w:lang w:val="sr-Cyrl-RS"/>
        </w:rPr>
        <w:t xml:space="preserve">. </w:t>
      </w:r>
      <w:proofErr w:type="spellStart"/>
      <w:r w:rsidRPr="00FD76D3">
        <w:rPr>
          <w:rFonts w:ascii="Tahoma" w:eastAsia="Times New Roman" w:hAnsi="Tahoma" w:cs="Tahoma"/>
          <w:color w:val="000000"/>
          <w:lang w:val="sr-Cyrl-RS"/>
        </w:rPr>
        <w:t>aprila</w:t>
      </w:r>
      <w:proofErr w:type="spellEnd"/>
      <w:r w:rsidRPr="00FD76D3">
        <w:rPr>
          <w:rFonts w:ascii="Tahoma" w:eastAsia="Times New Roman" w:hAnsi="Tahoma" w:cs="Tahoma"/>
          <w:color w:val="000000"/>
          <w:lang w:val="sr-Cyrl-RS"/>
        </w:rPr>
        <w:t xml:space="preserve"> 2024</w:t>
      </w:r>
      <w:r w:rsidRPr="00223458">
        <w:rPr>
          <w:rFonts w:ascii="Tahoma" w:eastAsia="Times New Roman" w:hAnsi="Tahoma" w:cs="Tahoma"/>
          <w:color w:val="000000"/>
          <w:lang w:val="sr-Cyrl-RS"/>
        </w:rPr>
        <w:t xml:space="preserve">.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godine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>namenjen</w:t>
      </w:r>
      <w:proofErr w:type="spellEnd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>je</w:t>
      </w:r>
      <w:proofErr w:type="spellEnd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>izboru</w:t>
      </w:r>
      <w:proofErr w:type="spellEnd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>tri</w:t>
      </w:r>
      <w:proofErr w:type="spellEnd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(3) </w:t>
      </w:r>
      <w:proofErr w:type="spellStart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>korisničke</w:t>
      </w:r>
      <w:proofErr w:type="spellEnd"/>
      <w:r w:rsidRPr="00223458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LS</w:t>
      </w:r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kojima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će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okviru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Programa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EU Exchange 6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biti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dodeljena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direktna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stručna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podrška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koja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treba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da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rezultira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izradom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izveštaja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LS.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Podrška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se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realizuje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skladu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Zakonom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planskom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sistemu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Zakonom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lokalnoj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samoupravi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statutima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lokalnih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samouprava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na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bazi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metodološkog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okvira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datog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Smernicama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izradu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planova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JLS</w:t>
      </w:r>
      <w:r w:rsidR="00600F06">
        <w:rPr>
          <w:rStyle w:val="FootnoteReference"/>
          <w:rFonts w:ascii="Tahoma" w:eastAsia="Times New Roman" w:hAnsi="Tahoma" w:cs="Tahoma"/>
          <w:color w:val="000000"/>
          <w:lang w:val="sr-Cyrl-RS"/>
        </w:rPr>
        <w:footnoteReference w:id="2"/>
      </w:r>
      <w:r w:rsidRPr="00223458">
        <w:rPr>
          <w:rFonts w:ascii="Tahoma" w:eastAsia="Times New Roman" w:hAnsi="Tahoma" w:cs="Tahoma"/>
          <w:color w:val="000000"/>
          <w:lang w:val="sr-Cyrl-RS"/>
        </w:rPr>
        <w:t xml:space="preserve"> , a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od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značaja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izveštavanje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su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propisi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koji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uređuju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budžetski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sistem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(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izveštavanje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budžetskih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programa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),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srednjoročno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planiranje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izveštavanje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povezani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instruktivni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23458">
        <w:rPr>
          <w:rFonts w:ascii="Tahoma" w:eastAsia="Times New Roman" w:hAnsi="Tahoma" w:cs="Tahoma"/>
          <w:color w:val="000000"/>
          <w:lang w:val="sr-Cyrl-RS"/>
        </w:rPr>
        <w:t>materijali</w:t>
      </w:r>
      <w:proofErr w:type="spellEnd"/>
      <w:r w:rsidRPr="00223458">
        <w:rPr>
          <w:rFonts w:ascii="Tahoma" w:eastAsia="Times New Roman" w:hAnsi="Tahoma" w:cs="Tahoma"/>
          <w:color w:val="000000"/>
          <w:lang w:val="sr-Cyrl-RS"/>
        </w:rPr>
        <w:t>.</w:t>
      </w:r>
    </w:p>
    <w:p w14:paraId="0D5C4723" w14:textId="3ED4AFA8" w:rsidR="0030102B" w:rsidRPr="002C600E" w:rsidRDefault="002C600E" w:rsidP="0030102B">
      <w:pPr>
        <w:jc w:val="both"/>
        <w:rPr>
          <w:rFonts w:ascii="Tahoma" w:hAnsi="Tahoma" w:cs="Tahoma"/>
          <w:lang w:val="sr-Latn-RS"/>
        </w:rPr>
      </w:pP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Podrška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podrazumeva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stručnu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podršku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izradi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izveštaja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LS i za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sprovođenje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pratećih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procesa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.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Obuhvat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podrške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uključuje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sledeće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ključne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2C600E">
        <w:rPr>
          <w:rFonts w:ascii="Tahoma" w:eastAsia="Times New Roman" w:hAnsi="Tahoma" w:cs="Tahoma"/>
          <w:color w:val="000000"/>
          <w:lang w:val="sr-Cyrl-RS"/>
        </w:rPr>
        <w:t>aspekte</w:t>
      </w:r>
      <w:proofErr w:type="spellEnd"/>
      <w:r w:rsidRPr="002C600E">
        <w:rPr>
          <w:rFonts w:ascii="Tahoma" w:eastAsia="Times New Roman" w:hAnsi="Tahoma" w:cs="Tahoma"/>
          <w:color w:val="000000"/>
          <w:lang w:val="sr-Cyrl-RS"/>
        </w:rPr>
        <w:t>:</w:t>
      </w:r>
    </w:p>
    <w:p w14:paraId="2821B613" w14:textId="1C97AA00" w:rsidR="0030102B" w:rsidRPr="00A45CA0" w:rsidRDefault="00933365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Koordinaciju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procesa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izveštavanja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stručnu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podršku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izradi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izveštaja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33365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933365">
        <w:rPr>
          <w:rFonts w:ascii="Tahoma" w:eastAsia="Times New Roman" w:hAnsi="Tahoma" w:cs="Tahoma"/>
          <w:color w:val="000000"/>
          <w:lang w:val="sr-Cyrl-RS"/>
        </w:rPr>
        <w:t>;</w:t>
      </w:r>
    </w:p>
    <w:p w14:paraId="3052BEC3" w14:textId="301867D6" w:rsidR="0030102B" w:rsidRPr="00A45CA0" w:rsidRDefault="00B437C7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Sagledavanje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redefinisanje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(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po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potrebi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)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organizacione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strukture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izradu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izveštaja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(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koordinacionog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tima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tematskih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radnih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B437C7">
        <w:rPr>
          <w:rFonts w:ascii="Tahoma" w:eastAsia="Times New Roman" w:hAnsi="Tahoma" w:cs="Tahoma"/>
          <w:color w:val="000000"/>
          <w:lang w:val="sr-Cyrl-RS"/>
        </w:rPr>
        <w:t>grupa</w:t>
      </w:r>
      <w:proofErr w:type="spellEnd"/>
      <w:r w:rsidRPr="00B437C7">
        <w:rPr>
          <w:rFonts w:ascii="Tahoma" w:eastAsia="Times New Roman" w:hAnsi="Tahoma" w:cs="Tahoma"/>
          <w:color w:val="000000"/>
          <w:lang w:val="sr-Cyrl-RS"/>
        </w:rPr>
        <w:t>);</w:t>
      </w:r>
    </w:p>
    <w:p w14:paraId="716CF9BB" w14:textId="6D5AEA95" w:rsidR="0030102B" w:rsidRPr="00A45CA0" w:rsidRDefault="00FD73E3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Održavanje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radionica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obuka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zaposlene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upravi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zainteresovane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strane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iz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lokalne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zajednice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uključene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proces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izrade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izveštaja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FD73E3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FD73E3">
        <w:rPr>
          <w:rFonts w:ascii="Tahoma" w:eastAsia="Times New Roman" w:hAnsi="Tahoma" w:cs="Tahoma"/>
          <w:color w:val="000000"/>
          <w:lang w:val="sr-Cyrl-RS"/>
        </w:rPr>
        <w:t>;</w:t>
      </w:r>
    </w:p>
    <w:p w14:paraId="7CB5724A" w14:textId="415B7ECA" w:rsidR="0030102B" w:rsidRPr="00A45CA0" w:rsidRDefault="007118CB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Podršku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izradi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pregleda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analize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učinaka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ostvarivanje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prioritetnih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ciljeva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mera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,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kao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uspostavljanje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veza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učinaka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sa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drugim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planskim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dokumentima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procesima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na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nacionalnom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regionalnom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ali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međunarodnom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nivou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(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npr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.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sprovođenje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UN </w:t>
      </w:r>
      <w:proofErr w:type="spellStart"/>
      <w:r w:rsidRPr="007118CB">
        <w:rPr>
          <w:rFonts w:ascii="Tahoma" w:eastAsia="Times New Roman" w:hAnsi="Tahoma" w:cs="Tahoma"/>
          <w:color w:val="000000"/>
          <w:lang w:val="sr-Cyrl-RS"/>
        </w:rPr>
        <w:t>Agende</w:t>
      </w:r>
      <w:proofErr w:type="spellEnd"/>
      <w:r w:rsidRPr="007118CB">
        <w:rPr>
          <w:rFonts w:ascii="Tahoma" w:eastAsia="Times New Roman" w:hAnsi="Tahoma" w:cs="Tahoma"/>
          <w:color w:val="000000"/>
          <w:lang w:val="sr-Cyrl-RS"/>
        </w:rPr>
        <w:t xml:space="preserve"> 2030);</w:t>
      </w:r>
    </w:p>
    <w:p w14:paraId="57EE8EB9" w14:textId="3FA9CA58" w:rsidR="0030102B" w:rsidRPr="00A45CA0" w:rsidRDefault="009E52EB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Razmatranja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(u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formi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zaključaka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) i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po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potrebi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definisanje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preporuka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vezi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sa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adekvatnošću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definisanih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ciljeva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ostalih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ključnih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elemenata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kao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preporuka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uspostavljanje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optimalnog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institucionalnog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okvira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izveštavanja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narednim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ciklusima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imajući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vidu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lokalne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resurse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>;</w:t>
      </w:r>
    </w:p>
    <w:p w14:paraId="75E62333" w14:textId="69C1860A" w:rsidR="0030102B" w:rsidRPr="00A45CA0" w:rsidRDefault="009E52EB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Podršku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primeni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alata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vidljivost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promociju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procesa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izrade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izveštaja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kao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i za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pripremu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materijala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organizovanje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događaja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sa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zainteresovanim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stranama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toku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konsultacija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dokumentu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koji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treba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da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prethode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njegovom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usvajanju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od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strane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skupštine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E52EB">
        <w:rPr>
          <w:rFonts w:ascii="Tahoma" w:eastAsia="Times New Roman" w:hAnsi="Tahoma" w:cs="Tahoma"/>
          <w:color w:val="000000"/>
          <w:lang w:val="sr-Cyrl-RS"/>
        </w:rPr>
        <w:t>korisničke</w:t>
      </w:r>
      <w:proofErr w:type="spellEnd"/>
      <w:r w:rsidRPr="009E52EB">
        <w:rPr>
          <w:rFonts w:ascii="Tahoma" w:eastAsia="Times New Roman" w:hAnsi="Tahoma" w:cs="Tahoma"/>
          <w:color w:val="000000"/>
          <w:lang w:val="sr-Cyrl-RS"/>
        </w:rPr>
        <w:t xml:space="preserve"> LS.</w:t>
      </w:r>
    </w:p>
    <w:p w14:paraId="18E14D1F" w14:textId="5BBF0CC3" w:rsidR="0030102B" w:rsidRPr="00A45CA0" w:rsidRDefault="001B3526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1B3526">
        <w:rPr>
          <w:rFonts w:ascii="Tahoma" w:eastAsia="Times New Roman" w:hAnsi="Tahoma" w:cs="Tahoma"/>
          <w:color w:val="000000"/>
          <w:lang w:val="sr-Cyrl-RS"/>
        </w:rPr>
        <w:lastRenderedPageBreak/>
        <w:t xml:space="preserve">U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Prilogu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="00F44202">
        <w:rPr>
          <w:rFonts w:ascii="Tahoma" w:eastAsia="Times New Roman" w:hAnsi="Tahoma" w:cs="Tahoma"/>
          <w:color w:val="000000"/>
          <w:lang w:val="sr-Latn-RS"/>
        </w:rPr>
        <w:t>2</w:t>
      </w:r>
      <w:r w:rsidRPr="001B3526">
        <w:rPr>
          <w:rFonts w:ascii="Tahoma" w:eastAsia="Times New Roman" w:hAnsi="Tahoma" w:cs="Tahoma"/>
          <w:color w:val="000000"/>
          <w:lang w:val="sr-Cyrl-RS"/>
        </w:rPr>
        <w:t xml:space="preserve"> –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Opis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podrške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izradu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izveštaja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učincima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sprovođenja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LS -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dat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je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sadržinski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pregled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podrške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kao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očekivanih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koristi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lokalne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samouprave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>/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korisnice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podrške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te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obaveze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smislu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proaktivnosti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>/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raspoloživosti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>/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angažmana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lokalne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samouprave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cilju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osiguravanja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efektivnosti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podrške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okviru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B3526">
        <w:rPr>
          <w:rFonts w:ascii="Tahoma" w:eastAsia="Times New Roman" w:hAnsi="Tahoma" w:cs="Tahoma"/>
          <w:color w:val="000000"/>
          <w:lang w:val="sr-Cyrl-RS"/>
        </w:rPr>
        <w:t>Programa</w:t>
      </w:r>
      <w:proofErr w:type="spellEnd"/>
      <w:r w:rsidRPr="001B3526">
        <w:rPr>
          <w:rFonts w:ascii="Tahoma" w:eastAsia="Times New Roman" w:hAnsi="Tahoma" w:cs="Tahoma"/>
          <w:color w:val="000000"/>
          <w:lang w:val="sr-Cyrl-RS"/>
        </w:rPr>
        <w:t xml:space="preserve"> EU Exchange 6.</w:t>
      </w:r>
    </w:p>
    <w:p w14:paraId="16585FD4" w14:textId="6720D955" w:rsidR="0030102B" w:rsidRPr="00A45CA0" w:rsidRDefault="00EE0A93" w:rsidP="00C35189">
      <w:pPr>
        <w:pStyle w:val="Heading1"/>
      </w:pPr>
      <w:bookmarkStart w:id="3" w:name="_Toc163568016"/>
      <w:r w:rsidRPr="00EE0A93">
        <w:t>PRAVILA KONKURSA</w:t>
      </w:r>
      <w:bookmarkEnd w:id="3"/>
    </w:p>
    <w:p w14:paraId="5760F905" w14:textId="051C0967" w:rsidR="0030102B" w:rsidRPr="00A45CA0" w:rsidRDefault="005524C1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5524C1">
        <w:rPr>
          <w:rFonts w:ascii="Tahoma" w:eastAsia="Times New Roman" w:hAnsi="Tahoma" w:cs="Tahoma"/>
          <w:color w:val="000000"/>
          <w:lang w:val="sr-Cyrl-RS"/>
        </w:rPr>
        <w:t xml:space="preserve">U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nastavku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Smernica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pojašnjavaju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se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pravila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podnošenje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prijava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selekciju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LS i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realizaciju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stručne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podrške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, a u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saglasnosti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sa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aktivnostima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predviđenim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okviru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524C1">
        <w:rPr>
          <w:rFonts w:ascii="Tahoma" w:eastAsia="Times New Roman" w:hAnsi="Tahoma" w:cs="Tahoma"/>
          <w:color w:val="000000"/>
          <w:lang w:val="sr-Cyrl-RS"/>
        </w:rPr>
        <w:t>Programa</w:t>
      </w:r>
      <w:proofErr w:type="spellEnd"/>
      <w:r w:rsidRPr="005524C1">
        <w:rPr>
          <w:rFonts w:ascii="Tahoma" w:eastAsia="Times New Roman" w:hAnsi="Tahoma" w:cs="Tahoma"/>
          <w:color w:val="000000"/>
          <w:lang w:val="sr-Cyrl-RS"/>
        </w:rPr>
        <w:t xml:space="preserve"> EU Exchange 6.</w:t>
      </w:r>
    </w:p>
    <w:p w14:paraId="3E3E06B7" w14:textId="730F574F" w:rsidR="0030102B" w:rsidRPr="00A45CA0" w:rsidRDefault="0030102B" w:rsidP="002F405D">
      <w:pPr>
        <w:pStyle w:val="Heading2"/>
      </w:pPr>
      <w:bookmarkStart w:id="4" w:name="_Toc534958164"/>
      <w:bookmarkStart w:id="5" w:name="_Toc163568017"/>
      <w:r w:rsidRPr="00A45CA0">
        <w:t xml:space="preserve">3.1. </w:t>
      </w:r>
      <w:bookmarkEnd w:id="4"/>
      <w:r w:rsidR="00554E45" w:rsidRPr="00554E45">
        <w:t>Uslovi za konkurisanje</w:t>
      </w:r>
      <w:bookmarkEnd w:id="5"/>
    </w:p>
    <w:p w14:paraId="6C946269" w14:textId="739172D9" w:rsidR="0030102B" w:rsidRPr="00A45CA0" w:rsidRDefault="00560D41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Da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bi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ostvario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pravo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na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podršku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okviru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konkursa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podnosilac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prijave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mora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kumulativno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da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ispuni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sledeće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560D41">
        <w:rPr>
          <w:rFonts w:ascii="Tahoma" w:eastAsia="Times New Roman" w:hAnsi="Tahoma" w:cs="Tahoma"/>
          <w:color w:val="000000"/>
          <w:lang w:val="sr-Cyrl-RS"/>
        </w:rPr>
        <w:t>kriterijume</w:t>
      </w:r>
      <w:proofErr w:type="spellEnd"/>
      <w:r w:rsidRPr="00560D41">
        <w:rPr>
          <w:rFonts w:ascii="Tahoma" w:eastAsia="Times New Roman" w:hAnsi="Tahoma" w:cs="Tahoma"/>
          <w:color w:val="000000"/>
          <w:lang w:val="sr-Cyrl-RS"/>
        </w:rPr>
        <w:t>:</w:t>
      </w:r>
    </w:p>
    <w:p w14:paraId="13903E5F" w14:textId="731C23E3" w:rsidR="0030102B" w:rsidRPr="004D4ED3" w:rsidRDefault="004F00BB" w:rsidP="0030102B">
      <w:pPr>
        <w:numPr>
          <w:ilvl w:val="0"/>
          <w:numId w:val="8"/>
        </w:numPr>
        <w:tabs>
          <w:tab w:val="num" w:pos="426"/>
        </w:tabs>
        <w:spacing w:after="80"/>
        <w:ind w:left="425" w:hanging="425"/>
        <w:jc w:val="both"/>
        <w:rPr>
          <w:rFonts w:ascii="Tahoma" w:hAnsi="Tahoma" w:cs="Tahoma"/>
          <w:lang w:val="sr-Cyrl-RS"/>
        </w:rPr>
      </w:pPr>
      <w:proofErr w:type="spellStart"/>
      <w:r w:rsidRPr="004D4ED3">
        <w:rPr>
          <w:rFonts w:ascii="Tahoma" w:hAnsi="Tahoma" w:cs="Tahoma"/>
          <w:lang w:val="sr-Cyrl-RS"/>
        </w:rPr>
        <w:t>bude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grad</w:t>
      </w:r>
      <w:proofErr w:type="spellEnd"/>
      <w:r w:rsidRPr="004D4ED3">
        <w:rPr>
          <w:rFonts w:ascii="Tahoma" w:hAnsi="Tahoma" w:cs="Tahoma"/>
          <w:lang w:val="sr-Cyrl-RS"/>
        </w:rPr>
        <w:t xml:space="preserve">, </w:t>
      </w:r>
      <w:proofErr w:type="spellStart"/>
      <w:r w:rsidRPr="004D4ED3">
        <w:rPr>
          <w:rFonts w:ascii="Tahoma" w:hAnsi="Tahoma" w:cs="Tahoma"/>
          <w:lang w:val="sr-Cyrl-RS"/>
        </w:rPr>
        <w:t>opština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ili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gradska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opština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sa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teritorije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Republike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Srbije</w:t>
      </w:r>
      <w:proofErr w:type="spellEnd"/>
      <w:r w:rsidRPr="004D4ED3">
        <w:rPr>
          <w:rFonts w:ascii="Tahoma" w:hAnsi="Tahoma" w:cs="Tahoma"/>
          <w:lang w:val="sr-Cyrl-RS"/>
        </w:rPr>
        <w:t>;</w:t>
      </w:r>
    </w:p>
    <w:p w14:paraId="1FB58F77" w14:textId="34EDA5A6" w:rsidR="0030102B" w:rsidRPr="004D4ED3" w:rsidRDefault="000E7183" w:rsidP="0030102B">
      <w:pPr>
        <w:numPr>
          <w:ilvl w:val="0"/>
          <w:numId w:val="8"/>
        </w:numPr>
        <w:tabs>
          <w:tab w:val="num" w:pos="426"/>
        </w:tabs>
        <w:spacing w:after="80"/>
        <w:ind w:left="425" w:hanging="425"/>
        <w:jc w:val="both"/>
        <w:rPr>
          <w:rFonts w:ascii="Tahoma" w:hAnsi="Tahoma" w:cs="Tahoma"/>
          <w:lang w:val="sr-Cyrl-RS"/>
        </w:rPr>
      </w:pPr>
      <w:proofErr w:type="spellStart"/>
      <w:r w:rsidRPr="004D4ED3">
        <w:rPr>
          <w:rFonts w:ascii="Tahoma" w:hAnsi="Tahoma" w:cs="Tahoma"/>
          <w:lang w:val="sr-Cyrl-RS"/>
        </w:rPr>
        <w:t>da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je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plan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razvoja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usvojio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najkasnije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do</w:t>
      </w:r>
      <w:proofErr w:type="spellEnd"/>
      <w:r w:rsidRPr="004D4ED3">
        <w:rPr>
          <w:rFonts w:ascii="Tahoma" w:hAnsi="Tahoma" w:cs="Tahoma"/>
          <w:lang w:val="sr-Cyrl-RS"/>
        </w:rPr>
        <w:t xml:space="preserve"> 31. </w:t>
      </w:r>
      <w:proofErr w:type="spellStart"/>
      <w:r w:rsidRPr="004D4ED3">
        <w:rPr>
          <w:rFonts w:ascii="Tahoma" w:hAnsi="Tahoma" w:cs="Tahoma"/>
          <w:lang w:val="sr-Cyrl-RS"/>
        </w:rPr>
        <w:t>marta</w:t>
      </w:r>
      <w:proofErr w:type="spellEnd"/>
      <w:r w:rsidRPr="004D4ED3">
        <w:rPr>
          <w:rFonts w:ascii="Tahoma" w:hAnsi="Tahoma" w:cs="Tahoma"/>
          <w:lang w:val="sr-Cyrl-RS"/>
        </w:rPr>
        <w:t xml:space="preserve"> 2021. </w:t>
      </w:r>
      <w:proofErr w:type="spellStart"/>
      <w:r w:rsidRPr="004D4ED3">
        <w:rPr>
          <w:rFonts w:ascii="Tahoma" w:hAnsi="Tahoma" w:cs="Tahoma"/>
          <w:lang w:val="sr-Cyrl-RS"/>
        </w:rPr>
        <w:t>godine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tj</w:t>
      </w:r>
      <w:proofErr w:type="spellEnd"/>
      <w:r w:rsidRPr="004D4ED3">
        <w:rPr>
          <w:rFonts w:ascii="Tahoma" w:hAnsi="Tahoma" w:cs="Tahoma"/>
          <w:lang w:val="sr-Cyrl-RS"/>
        </w:rPr>
        <w:t xml:space="preserve">. </w:t>
      </w:r>
      <w:proofErr w:type="spellStart"/>
      <w:r w:rsidRPr="004D4ED3">
        <w:rPr>
          <w:rFonts w:ascii="Tahoma" w:hAnsi="Tahoma" w:cs="Tahoma"/>
          <w:lang w:val="sr-Cyrl-RS"/>
        </w:rPr>
        <w:t>da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je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isteklo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pune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tri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godine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od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donošenja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Odluke</w:t>
      </w:r>
      <w:proofErr w:type="spellEnd"/>
      <w:r w:rsidRPr="004D4ED3">
        <w:rPr>
          <w:rFonts w:ascii="Tahoma" w:hAnsi="Tahoma" w:cs="Tahoma"/>
          <w:lang w:val="sr-Cyrl-RS"/>
        </w:rPr>
        <w:t xml:space="preserve"> o </w:t>
      </w:r>
      <w:proofErr w:type="spellStart"/>
      <w:r w:rsidRPr="004D4ED3">
        <w:rPr>
          <w:rFonts w:ascii="Tahoma" w:hAnsi="Tahoma" w:cs="Tahoma"/>
          <w:lang w:val="sr-Cyrl-RS"/>
        </w:rPr>
        <w:t>usvajanju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Plana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razvoja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od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strane</w:t>
      </w:r>
      <w:proofErr w:type="spellEnd"/>
      <w:r w:rsidRPr="004D4ED3">
        <w:rPr>
          <w:rFonts w:ascii="Tahoma" w:hAnsi="Tahoma" w:cs="Tahoma"/>
          <w:lang w:val="sr-Cyrl-RS"/>
        </w:rPr>
        <w:t xml:space="preserve"> </w:t>
      </w:r>
      <w:proofErr w:type="spellStart"/>
      <w:r w:rsidRPr="004D4ED3">
        <w:rPr>
          <w:rFonts w:ascii="Tahoma" w:hAnsi="Tahoma" w:cs="Tahoma"/>
          <w:lang w:val="sr-Cyrl-RS"/>
        </w:rPr>
        <w:t>Skupštine</w:t>
      </w:r>
      <w:proofErr w:type="spellEnd"/>
      <w:r w:rsidRPr="004D4ED3">
        <w:rPr>
          <w:rFonts w:ascii="Tahoma" w:hAnsi="Tahoma" w:cs="Tahoma"/>
          <w:lang w:val="sr-Cyrl-RS"/>
        </w:rPr>
        <w:t xml:space="preserve"> LS;</w:t>
      </w:r>
    </w:p>
    <w:p w14:paraId="134D909D" w14:textId="69B03814" w:rsidR="0030102B" w:rsidRPr="00A45CA0" w:rsidRDefault="00232785" w:rsidP="0030102B">
      <w:pPr>
        <w:pStyle w:val="ListParagraph"/>
        <w:numPr>
          <w:ilvl w:val="0"/>
          <w:numId w:val="3"/>
        </w:numPr>
        <w:ind w:left="357" w:hanging="357"/>
        <w:contextualSpacing w:val="0"/>
        <w:jc w:val="both"/>
        <w:rPr>
          <w:rFonts w:ascii="Tahoma" w:hAnsi="Tahoma" w:cs="Tahoma"/>
          <w:lang w:val="sr-Cyrl-RS"/>
        </w:rPr>
      </w:pPr>
      <w:proofErr w:type="spellStart"/>
      <w:r w:rsidRPr="00232785">
        <w:rPr>
          <w:rFonts w:ascii="Tahoma" w:hAnsi="Tahoma" w:cs="Tahoma"/>
          <w:lang w:val="sr-Cyrl-RS"/>
        </w:rPr>
        <w:t>da</w:t>
      </w:r>
      <w:proofErr w:type="spellEnd"/>
      <w:r w:rsidRPr="00232785">
        <w:rPr>
          <w:rFonts w:ascii="Tahoma" w:hAnsi="Tahoma" w:cs="Tahoma"/>
          <w:lang w:val="sr-Cyrl-RS"/>
        </w:rPr>
        <w:t xml:space="preserve"> u </w:t>
      </w:r>
      <w:proofErr w:type="spellStart"/>
      <w:r w:rsidRPr="00232785">
        <w:rPr>
          <w:rFonts w:ascii="Tahoma" w:hAnsi="Tahoma" w:cs="Tahoma"/>
          <w:lang w:val="sr-Cyrl-RS"/>
        </w:rPr>
        <w:t>trenutku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konkurisanja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nije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korisnik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podrške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dodeljene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iz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sredstava</w:t>
      </w:r>
      <w:proofErr w:type="spellEnd"/>
      <w:r w:rsidRPr="00232785">
        <w:rPr>
          <w:rFonts w:ascii="Tahoma" w:hAnsi="Tahoma" w:cs="Tahoma"/>
          <w:lang w:val="sr-Cyrl-RS"/>
        </w:rPr>
        <w:t xml:space="preserve"> EU, </w:t>
      </w:r>
      <w:proofErr w:type="spellStart"/>
      <w:r w:rsidRPr="00232785">
        <w:rPr>
          <w:rFonts w:ascii="Tahoma" w:hAnsi="Tahoma" w:cs="Tahoma"/>
          <w:lang w:val="sr-Cyrl-RS"/>
        </w:rPr>
        <w:t>drugih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razvojnih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partnera</w:t>
      </w:r>
      <w:proofErr w:type="spellEnd"/>
      <w:r w:rsidRPr="00232785">
        <w:rPr>
          <w:rFonts w:ascii="Tahoma" w:hAnsi="Tahoma" w:cs="Tahoma"/>
          <w:lang w:val="sr-Cyrl-RS"/>
        </w:rPr>
        <w:t xml:space="preserve">, </w:t>
      </w:r>
      <w:proofErr w:type="spellStart"/>
      <w:r w:rsidRPr="00232785">
        <w:rPr>
          <w:rFonts w:ascii="Tahoma" w:hAnsi="Tahoma" w:cs="Tahoma"/>
          <w:lang w:val="sr-Cyrl-RS"/>
        </w:rPr>
        <w:t>odnosno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drugih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međunarodnih</w:t>
      </w:r>
      <w:proofErr w:type="spellEnd"/>
      <w:r w:rsidRPr="00232785">
        <w:rPr>
          <w:rFonts w:ascii="Tahoma" w:hAnsi="Tahoma" w:cs="Tahoma"/>
          <w:lang w:val="sr-Cyrl-RS"/>
        </w:rPr>
        <w:t xml:space="preserve"> i </w:t>
      </w:r>
      <w:proofErr w:type="spellStart"/>
      <w:r w:rsidRPr="00232785">
        <w:rPr>
          <w:rFonts w:ascii="Tahoma" w:hAnsi="Tahoma" w:cs="Tahoma"/>
          <w:lang w:val="sr-Cyrl-RS"/>
        </w:rPr>
        <w:t>nacionalnih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entiteta</w:t>
      </w:r>
      <w:proofErr w:type="spellEnd"/>
      <w:r w:rsidRPr="00232785">
        <w:rPr>
          <w:rFonts w:ascii="Tahoma" w:hAnsi="Tahoma" w:cs="Tahoma"/>
          <w:lang w:val="sr-Cyrl-RS"/>
        </w:rPr>
        <w:t xml:space="preserve"> – </w:t>
      </w:r>
      <w:proofErr w:type="spellStart"/>
      <w:r w:rsidRPr="00232785">
        <w:rPr>
          <w:rFonts w:ascii="Tahoma" w:hAnsi="Tahoma" w:cs="Tahoma"/>
          <w:lang w:val="sr-Cyrl-RS"/>
        </w:rPr>
        <w:t>koja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je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istovrsna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kao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podrška</w:t>
      </w:r>
      <w:proofErr w:type="spellEnd"/>
      <w:r w:rsidRPr="00232785">
        <w:rPr>
          <w:rFonts w:ascii="Tahoma" w:hAnsi="Tahoma" w:cs="Tahoma"/>
          <w:lang w:val="sr-Cyrl-RS"/>
        </w:rPr>
        <w:t xml:space="preserve"> za </w:t>
      </w:r>
      <w:proofErr w:type="spellStart"/>
      <w:r w:rsidRPr="00232785">
        <w:rPr>
          <w:rFonts w:ascii="Tahoma" w:hAnsi="Tahoma" w:cs="Tahoma"/>
          <w:lang w:val="sr-Cyrl-RS"/>
        </w:rPr>
        <w:t>koju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se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prijavljuje</w:t>
      </w:r>
      <w:proofErr w:type="spellEnd"/>
      <w:r w:rsidRPr="00232785">
        <w:rPr>
          <w:rFonts w:ascii="Tahoma" w:hAnsi="Tahoma" w:cs="Tahoma"/>
          <w:lang w:val="sr-Cyrl-RS"/>
        </w:rPr>
        <w:t xml:space="preserve"> u </w:t>
      </w:r>
      <w:proofErr w:type="spellStart"/>
      <w:r w:rsidRPr="00232785">
        <w:rPr>
          <w:rFonts w:ascii="Tahoma" w:hAnsi="Tahoma" w:cs="Tahoma"/>
          <w:lang w:val="sr-Cyrl-RS"/>
        </w:rPr>
        <w:t>okviru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ovog</w:t>
      </w:r>
      <w:proofErr w:type="spellEnd"/>
      <w:r w:rsidRPr="00232785">
        <w:rPr>
          <w:rFonts w:ascii="Tahoma" w:hAnsi="Tahoma" w:cs="Tahoma"/>
          <w:lang w:val="sr-Cyrl-RS"/>
        </w:rPr>
        <w:t xml:space="preserve"> </w:t>
      </w:r>
      <w:proofErr w:type="spellStart"/>
      <w:r w:rsidRPr="00232785">
        <w:rPr>
          <w:rFonts w:ascii="Tahoma" w:hAnsi="Tahoma" w:cs="Tahoma"/>
          <w:lang w:val="sr-Cyrl-RS"/>
        </w:rPr>
        <w:t>konkursa</w:t>
      </w:r>
      <w:proofErr w:type="spellEnd"/>
      <w:r w:rsidRPr="008C77A8">
        <w:rPr>
          <w:rFonts w:ascii="Tahoma" w:hAnsi="Tahoma" w:cs="Tahoma"/>
          <w:lang w:val="sr-Cyrl-RS"/>
        </w:rPr>
        <w:t>.</w:t>
      </w:r>
    </w:p>
    <w:p w14:paraId="21B19C59" w14:textId="11C89ED3" w:rsidR="0030102B" w:rsidRPr="00A45CA0" w:rsidRDefault="0034794D" w:rsidP="0030102B">
      <w:pPr>
        <w:jc w:val="both"/>
        <w:rPr>
          <w:rFonts w:ascii="Tahoma" w:eastAsia="Times New Roman" w:hAnsi="Tahoma" w:cs="Tahoma"/>
          <w:snapToGrid w:val="0"/>
          <w:lang w:val="sr-Cyrl-RS"/>
        </w:rPr>
      </w:pP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Mogućnosti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za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postavljanje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dodatnih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pitanja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i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traženja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pojašnjenja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u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vezi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sa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konkursom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data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su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u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tački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3.5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ovih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34794D">
        <w:rPr>
          <w:rFonts w:ascii="Tahoma" w:eastAsia="Times New Roman" w:hAnsi="Tahoma" w:cs="Tahoma"/>
          <w:snapToGrid w:val="0"/>
          <w:lang w:val="sr-Cyrl-RS"/>
        </w:rPr>
        <w:t>smernica</w:t>
      </w:r>
      <w:proofErr w:type="spellEnd"/>
      <w:r w:rsidRPr="0034794D">
        <w:rPr>
          <w:rFonts w:ascii="Tahoma" w:eastAsia="Times New Roman" w:hAnsi="Tahoma" w:cs="Tahoma"/>
          <w:snapToGrid w:val="0"/>
          <w:lang w:val="sr-Cyrl-RS"/>
        </w:rPr>
        <w:t>.</w:t>
      </w:r>
    </w:p>
    <w:p w14:paraId="35C7B67C" w14:textId="3AB79831" w:rsidR="0030102B" w:rsidRPr="00A45CA0" w:rsidRDefault="0030102B" w:rsidP="002F405D">
      <w:pPr>
        <w:pStyle w:val="Heading2"/>
      </w:pPr>
      <w:bookmarkStart w:id="6" w:name="_Toc534958165"/>
      <w:bookmarkStart w:id="7" w:name="_Toc163568018"/>
      <w:r w:rsidRPr="00A45CA0">
        <w:t xml:space="preserve">3.2. </w:t>
      </w:r>
      <w:bookmarkEnd w:id="6"/>
      <w:r w:rsidR="000F77E8" w:rsidRPr="000F77E8">
        <w:t>Kako konkurisati i procedure koje treba ispoštovati</w:t>
      </w:r>
      <w:bookmarkEnd w:id="7"/>
    </w:p>
    <w:p w14:paraId="49B076B5" w14:textId="28864220" w:rsidR="0030102B" w:rsidRPr="00A45CA0" w:rsidRDefault="00EE3933" w:rsidP="0030102B">
      <w:pPr>
        <w:jc w:val="both"/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</w:pPr>
      <w:proofErr w:type="spellStart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>Konkursna</w:t>
      </w:r>
      <w:proofErr w:type="spellEnd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 xml:space="preserve"> </w:t>
      </w:r>
      <w:proofErr w:type="spellStart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>dokumentacija</w:t>
      </w:r>
      <w:proofErr w:type="spellEnd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 xml:space="preserve"> – </w:t>
      </w:r>
      <w:proofErr w:type="spellStart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>kompletna</w:t>
      </w:r>
      <w:proofErr w:type="spellEnd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 xml:space="preserve"> </w:t>
      </w:r>
      <w:proofErr w:type="spellStart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>dostava</w:t>
      </w:r>
      <w:proofErr w:type="spellEnd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 xml:space="preserve"> </w:t>
      </w:r>
      <w:proofErr w:type="spellStart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>elektronskom</w:t>
      </w:r>
      <w:proofErr w:type="spellEnd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 xml:space="preserve"> </w:t>
      </w:r>
      <w:proofErr w:type="spellStart"/>
      <w:r w:rsidRPr="00EE3933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>poštom</w:t>
      </w:r>
      <w:proofErr w:type="spellEnd"/>
    </w:p>
    <w:p w14:paraId="11C6D86C" w14:textId="68C0C837" w:rsidR="0030102B" w:rsidRPr="00A45CA0" w:rsidRDefault="00861503" w:rsidP="0030102B">
      <w:pPr>
        <w:pStyle w:val="ListParagraph"/>
        <w:numPr>
          <w:ilvl w:val="0"/>
          <w:numId w:val="5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snapToGrid w:val="0"/>
          <w:u w:val="single"/>
          <w:lang w:val="sr-Cyrl-RS"/>
        </w:rPr>
      </w:pPr>
      <w:bookmarkStart w:id="8" w:name="_Hlk93853898"/>
      <w:proofErr w:type="spellStart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>Popunjen</w:t>
      </w:r>
      <w:proofErr w:type="spellEnd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i </w:t>
      </w:r>
      <w:proofErr w:type="spellStart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>potpisan</w:t>
      </w:r>
      <w:proofErr w:type="spellEnd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>Obrazac</w:t>
      </w:r>
      <w:proofErr w:type="spellEnd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za </w:t>
      </w:r>
      <w:proofErr w:type="spellStart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>prijavu</w:t>
      </w:r>
      <w:proofErr w:type="spellEnd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za </w:t>
      </w:r>
      <w:proofErr w:type="spellStart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>dodelu</w:t>
      </w:r>
      <w:proofErr w:type="spellEnd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>stručne</w:t>
      </w:r>
      <w:proofErr w:type="spellEnd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>podrške</w:t>
      </w:r>
      <w:proofErr w:type="spellEnd"/>
      <w:r w:rsidRPr="00861503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Pr="00F8370E">
        <w:rPr>
          <w:rFonts w:ascii="Tahoma" w:eastAsia="Times New Roman" w:hAnsi="Tahoma" w:cs="Tahoma"/>
          <w:snapToGrid w:val="0"/>
          <w:u w:val="single"/>
          <w:lang w:val="sr-Cyrl-RS"/>
        </w:rPr>
        <w:t xml:space="preserve">za </w:t>
      </w:r>
      <w:proofErr w:type="spellStart"/>
      <w:r w:rsidRPr="00F8370E">
        <w:rPr>
          <w:rFonts w:ascii="Tahoma" w:eastAsia="Times New Roman" w:hAnsi="Tahoma" w:cs="Tahoma"/>
          <w:snapToGrid w:val="0"/>
          <w:u w:val="single"/>
          <w:lang w:val="sr-Cyrl-RS"/>
        </w:rPr>
        <w:t>izradu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izveštaja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o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učincima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sprovođenja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>plana</w:t>
      </w:r>
      <w:proofErr w:type="spellEnd"/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 xml:space="preserve"> </w:t>
      </w:r>
      <w:proofErr w:type="spellStart"/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>razvoja</w:t>
      </w:r>
      <w:proofErr w:type="spellEnd"/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 xml:space="preserve"> LS</w:t>
      </w:r>
      <w:r w:rsidRPr="00861503">
        <w:rPr>
          <w:rFonts w:ascii="Tahoma" w:eastAsia="Times New Roman" w:hAnsi="Tahoma" w:cs="Tahoma"/>
          <w:snapToGrid w:val="0"/>
          <w:lang w:val="sr-Cyrl-RS"/>
        </w:rPr>
        <w:t xml:space="preserve">  (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original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dokumenta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,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skeniran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).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Obrazac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za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prijavu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po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ovom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konkursu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dat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861503">
        <w:rPr>
          <w:rFonts w:ascii="Tahoma" w:eastAsia="Times New Roman" w:hAnsi="Tahoma" w:cs="Tahoma"/>
          <w:snapToGrid w:val="0"/>
          <w:lang w:val="sr-Cyrl-RS"/>
        </w:rPr>
        <w:t>je</w:t>
      </w:r>
      <w:proofErr w:type="spellEnd"/>
      <w:r w:rsidRPr="00861503">
        <w:rPr>
          <w:rFonts w:ascii="Tahoma" w:eastAsia="Times New Roman" w:hAnsi="Tahoma" w:cs="Tahoma"/>
          <w:snapToGrid w:val="0"/>
          <w:lang w:val="sr-Cyrl-RS"/>
        </w:rPr>
        <w:t xml:space="preserve"> u </w:t>
      </w:r>
      <w:proofErr w:type="spellStart"/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>Prilogu</w:t>
      </w:r>
      <w:proofErr w:type="spellEnd"/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 xml:space="preserve"> </w:t>
      </w:r>
      <w:r w:rsidR="005639B7">
        <w:rPr>
          <w:rFonts w:ascii="Tahoma" w:eastAsia="Times New Roman" w:hAnsi="Tahoma" w:cs="Tahoma"/>
          <w:snapToGrid w:val="0"/>
          <w:u w:val="single"/>
          <w:lang w:val="sr-Latn-RS"/>
        </w:rPr>
        <w:t>3</w:t>
      </w:r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 xml:space="preserve"> </w:t>
      </w:r>
      <w:proofErr w:type="spellStart"/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>ovih</w:t>
      </w:r>
      <w:proofErr w:type="spellEnd"/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 xml:space="preserve"> </w:t>
      </w:r>
      <w:proofErr w:type="spellStart"/>
      <w:r w:rsidRPr="00253638">
        <w:rPr>
          <w:rFonts w:ascii="Tahoma" w:eastAsia="Times New Roman" w:hAnsi="Tahoma" w:cs="Tahoma"/>
          <w:snapToGrid w:val="0"/>
          <w:u w:val="single"/>
          <w:lang w:val="sr-Cyrl-RS"/>
        </w:rPr>
        <w:t>Smernica</w:t>
      </w:r>
      <w:proofErr w:type="spellEnd"/>
      <w:r w:rsidR="00253638" w:rsidRPr="008C77A8">
        <w:rPr>
          <w:rFonts w:ascii="Tahoma" w:eastAsia="Times New Roman" w:hAnsi="Tahoma" w:cs="Tahoma"/>
          <w:snapToGrid w:val="0"/>
          <w:lang w:val="sr-Cyrl-RS"/>
        </w:rPr>
        <w:t>.</w:t>
      </w:r>
    </w:p>
    <w:bookmarkEnd w:id="8"/>
    <w:p w14:paraId="14695279" w14:textId="6066D463" w:rsidR="0030102B" w:rsidRPr="00467CA1" w:rsidRDefault="007E3617" w:rsidP="0030102B">
      <w:pPr>
        <w:pStyle w:val="ListParagraph"/>
        <w:numPr>
          <w:ilvl w:val="0"/>
          <w:numId w:val="5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snapToGrid w:val="0"/>
          <w:lang w:val="sr-Cyrl-RS"/>
        </w:rPr>
      </w:pP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Izjavu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o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spremnosti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za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korišćenje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stručne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podrške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za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izradu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izveštaja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o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učincima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sprovođenja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Plana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razvoja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u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okviru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Programa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EU Exchange 6,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koju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je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potpisao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gradonačelnik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/</w:t>
      </w:r>
      <w:proofErr w:type="spellStart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>predsednik</w:t>
      </w:r>
      <w:proofErr w:type="spellEnd"/>
      <w:r w:rsidRPr="00467CA1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opštine</w:t>
      </w:r>
      <w:r w:rsidRPr="00467CA1">
        <w:rPr>
          <w:rFonts w:ascii="Tahoma" w:eastAsia="Times New Roman" w:hAnsi="Tahoma" w:cs="Tahoma"/>
          <w:snapToGrid w:val="0"/>
          <w:lang w:val="sr-Cyrl-RS"/>
        </w:rPr>
        <w:t xml:space="preserve"> (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original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dokumenta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,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skeniran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).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Ova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izjava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dostavlja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se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 u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formi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koja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je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snapToGrid w:val="0"/>
          <w:lang w:val="sr-Cyrl-RS"/>
        </w:rPr>
        <w:t>data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 xml:space="preserve"> u  </w:t>
      </w:r>
      <w:proofErr w:type="spellStart"/>
      <w:r w:rsidRPr="00467CA1">
        <w:rPr>
          <w:rFonts w:ascii="Tahoma" w:eastAsia="Times New Roman" w:hAnsi="Tahoma" w:cs="Tahoma"/>
          <w:snapToGrid w:val="0"/>
          <w:u w:val="single"/>
          <w:lang w:val="sr-Cyrl-RS"/>
        </w:rPr>
        <w:t>Prilogu</w:t>
      </w:r>
      <w:proofErr w:type="spellEnd"/>
      <w:r w:rsidRPr="00467CA1">
        <w:rPr>
          <w:rFonts w:ascii="Tahoma" w:eastAsia="Times New Roman" w:hAnsi="Tahoma" w:cs="Tahoma"/>
          <w:snapToGrid w:val="0"/>
          <w:u w:val="single"/>
          <w:lang w:val="sr-Cyrl-RS"/>
        </w:rPr>
        <w:t xml:space="preserve"> </w:t>
      </w:r>
      <w:r w:rsidR="005639B7">
        <w:rPr>
          <w:rFonts w:ascii="Tahoma" w:eastAsia="Times New Roman" w:hAnsi="Tahoma" w:cs="Tahoma"/>
          <w:snapToGrid w:val="0"/>
          <w:u w:val="single"/>
          <w:lang w:val="sr-Latn-RS"/>
        </w:rPr>
        <w:t>4</w:t>
      </w:r>
      <w:r w:rsidRPr="00467CA1">
        <w:rPr>
          <w:rFonts w:ascii="Tahoma" w:eastAsia="Times New Roman" w:hAnsi="Tahoma" w:cs="Tahoma"/>
          <w:snapToGrid w:val="0"/>
          <w:u w:val="single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snapToGrid w:val="0"/>
          <w:u w:val="single"/>
          <w:lang w:val="sr-Cyrl-RS"/>
        </w:rPr>
        <w:t>ovih</w:t>
      </w:r>
      <w:proofErr w:type="spellEnd"/>
      <w:r w:rsidRPr="00467CA1">
        <w:rPr>
          <w:rFonts w:ascii="Tahoma" w:eastAsia="Times New Roman" w:hAnsi="Tahoma" w:cs="Tahoma"/>
          <w:snapToGrid w:val="0"/>
          <w:u w:val="single"/>
          <w:lang w:val="sr-Cyrl-RS"/>
        </w:rPr>
        <w:t xml:space="preserve"> </w:t>
      </w:r>
      <w:proofErr w:type="spellStart"/>
      <w:r w:rsidRPr="00467CA1">
        <w:rPr>
          <w:rFonts w:ascii="Tahoma" w:eastAsia="Times New Roman" w:hAnsi="Tahoma" w:cs="Tahoma"/>
          <w:snapToGrid w:val="0"/>
          <w:u w:val="single"/>
          <w:lang w:val="sr-Cyrl-RS"/>
        </w:rPr>
        <w:t>Smernica</w:t>
      </w:r>
      <w:proofErr w:type="spellEnd"/>
      <w:r w:rsidRPr="00467CA1">
        <w:rPr>
          <w:rFonts w:ascii="Tahoma" w:eastAsia="Times New Roman" w:hAnsi="Tahoma" w:cs="Tahoma"/>
          <w:snapToGrid w:val="0"/>
          <w:lang w:val="sr-Cyrl-RS"/>
        </w:rPr>
        <w:t>.</w:t>
      </w:r>
    </w:p>
    <w:p w14:paraId="1FB91FE7" w14:textId="04307B66" w:rsidR="0077236A" w:rsidRPr="00A45CA0" w:rsidRDefault="00AC0D35" w:rsidP="0077236A">
      <w:pPr>
        <w:pStyle w:val="ListParagraph"/>
        <w:numPr>
          <w:ilvl w:val="0"/>
          <w:numId w:val="5"/>
        </w:numPr>
        <w:ind w:left="357" w:hanging="357"/>
        <w:jc w:val="both"/>
        <w:rPr>
          <w:rFonts w:ascii="Tahoma" w:eastAsia="Times New Roman" w:hAnsi="Tahoma" w:cs="Tahoma"/>
          <w:bCs/>
          <w:snapToGrid w:val="0"/>
          <w:lang w:val="sr-Cyrl-RS"/>
        </w:rPr>
      </w:pPr>
      <w:proofErr w:type="spellStart"/>
      <w:r w:rsidRPr="00AC0D35">
        <w:rPr>
          <w:rFonts w:ascii="Tahoma" w:eastAsia="Times New Roman" w:hAnsi="Tahoma" w:cs="Tahoma"/>
          <w:b/>
          <w:bCs/>
          <w:color w:val="000000"/>
          <w:lang w:val="sr-Cyrl-RS"/>
        </w:rPr>
        <w:t>Prateća</w:t>
      </w:r>
      <w:proofErr w:type="spellEnd"/>
      <w:r w:rsidRPr="00AC0D35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b/>
          <w:bCs/>
          <w:color w:val="000000"/>
          <w:lang w:val="sr-Cyrl-RS"/>
        </w:rPr>
        <w:t>dokumentacija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-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navedene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prateće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dokumente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je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neophodno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dostaviti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kao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priloge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okviru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prijave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elektronskom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poštom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kako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bi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prijava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ispunila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tehničke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kriterijume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konkurisanje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i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bila</w:t>
      </w:r>
      <w:proofErr w:type="spellEnd"/>
      <w:r w:rsidRPr="00AC0D3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0D35">
        <w:rPr>
          <w:rFonts w:ascii="Tahoma" w:eastAsia="Times New Roman" w:hAnsi="Tahoma" w:cs="Tahoma"/>
          <w:color w:val="000000"/>
          <w:lang w:val="sr-Cyrl-RS"/>
        </w:rPr>
        <w:t>razmatrana</w:t>
      </w:r>
      <w:proofErr w:type="spellEnd"/>
      <w:r w:rsidRPr="008C77A8">
        <w:rPr>
          <w:rFonts w:ascii="Tahoma" w:eastAsia="Times New Roman" w:hAnsi="Tahoma" w:cs="Tahoma"/>
          <w:color w:val="000000"/>
          <w:lang w:val="sr-Cyrl-RS"/>
        </w:rPr>
        <w:t>.</w:t>
      </w:r>
    </w:p>
    <w:p w14:paraId="510A6BA5" w14:textId="3974BD1B" w:rsidR="004E1A42" w:rsidRPr="00A45CA0" w:rsidRDefault="002539BE" w:rsidP="0030102B">
      <w:pPr>
        <w:pStyle w:val="ListParagraph"/>
        <w:numPr>
          <w:ilvl w:val="0"/>
          <w:numId w:val="6"/>
        </w:numPr>
        <w:spacing w:after="80"/>
        <w:ind w:left="794" w:hanging="357"/>
        <w:contextualSpacing w:val="0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proofErr w:type="spellStart"/>
      <w:r w:rsidRPr="002539BE">
        <w:rPr>
          <w:rFonts w:ascii="Tahoma" w:eastAsia="Times New Roman" w:hAnsi="Tahoma" w:cs="Tahoma"/>
          <w:b/>
          <w:bCs/>
          <w:snapToGrid w:val="0"/>
          <w:lang w:val="sr-Cyrl-RS"/>
        </w:rPr>
        <w:t>Popunjeni</w:t>
      </w:r>
      <w:proofErr w:type="spellEnd"/>
      <w:r w:rsidRPr="002539B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proofErr w:type="spellStart"/>
      <w:r w:rsidRPr="002539BE">
        <w:rPr>
          <w:rFonts w:ascii="Tahoma" w:eastAsia="Times New Roman" w:hAnsi="Tahoma" w:cs="Tahoma"/>
          <w:b/>
          <w:bCs/>
          <w:snapToGrid w:val="0"/>
          <w:lang w:val="sr-Cyrl-RS"/>
        </w:rPr>
        <w:t>obrazac</w:t>
      </w:r>
      <w:proofErr w:type="spellEnd"/>
      <w:r w:rsidRPr="002539B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za </w:t>
      </w:r>
      <w:proofErr w:type="spellStart"/>
      <w:r w:rsidRPr="002539BE">
        <w:rPr>
          <w:rFonts w:ascii="Tahoma" w:eastAsia="Times New Roman" w:hAnsi="Tahoma" w:cs="Tahoma"/>
          <w:b/>
          <w:bCs/>
          <w:snapToGrid w:val="0"/>
          <w:lang w:val="sr-Cyrl-RS"/>
        </w:rPr>
        <w:t>prijavu</w:t>
      </w:r>
      <w:proofErr w:type="spellEnd"/>
      <w:r w:rsidRPr="002539B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u WORD </w:t>
      </w:r>
      <w:proofErr w:type="spellStart"/>
      <w:r w:rsidRPr="002539BE">
        <w:rPr>
          <w:rFonts w:ascii="Tahoma" w:eastAsia="Times New Roman" w:hAnsi="Tahoma" w:cs="Tahoma"/>
          <w:b/>
          <w:bCs/>
          <w:snapToGrid w:val="0"/>
          <w:lang w:val="sr-Cyrl-RS"/>
        </w:rPr>
        <w:t>formatu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(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sadržinski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identičan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kao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originalni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dokument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,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samo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u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word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formatu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radi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lakše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2539BE">
        <w:rPr>
          <w:rFonts w:ascii="Tahoma" w:eastAsia="Times New Roman" w:hAnsi="Tahoma" w:cs="Tahoma"/>
          <w:snapToGrid w:val="0"/>
          <w:lang w:val="sr-Cyrl-RS"/>
        </w:rPr>
        <w:t>čitljivosti</w:t>
      </w:r>
      <w:proofErr w:type="spellEnd"/>
      <w:r w:rsidRPr="002539BE">
        <w:rPr>
          <w:rFonts w:ascii="Tahoma" w:eastAsia="Times New Roman" w:hAnsi="Tahoma" w:cs="Tahoma"/>
          <w:snapToGrid w:val="0"/>
          <w:lang w:val="sr-Cyrl-RS"/>
        </w:rPr>
        <w:t>);</w:t>
      </w:r>
    </w:p>
    <w:p w14:paraId="6C51BAD9" w14:textId="1E263893" w:rsidR="0030102B" w:rsidRPr="00A45CA0" w:rsidRDefault="00DD03F6" w:rsidP="0030102B">
      <w:pPr>
        <w:pStyle w:val="ListParagraph"/>
        <w:numPr>
          <w:ilvl w:val="0"/>
          <w:numId w:val="6"/>
        </w:numPr>
        <w:spacing w:after="80"/>
        <w:ind w:left="794" w:hanging="357"/>
        <w:contextualSpacing w:val="0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proofErr w:type="spellStart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Plan</w:t>
      </w:r>
      <w:proofErr w:type="spellEnd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razvoja</w:t>
      </w:r>
      <w:proofErr w:type="spellEnd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kao</w:t>
      </w:r>
      <w:proofErr w:type="spellEnd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i </w:t>
      </w:r>
      <w:proofErr w:type="spellStart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skeniranu</w:t>
      </w:r>
      <w:proofErr w:type="spellEnd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Odluku</w:t>
      </w:r>
      <w:proofErr w:type="spellEnd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Sku</w:t>
      </w:r>
      <w:proofErr w:type="spellEnd"/>
      <w:r w:rsidR="00931102">
        <w:rPr>
          <w:rFonts w:ascii="Tahoma" w:eastAsia="Times New Roman" w:hAnsi="Tahoma" w:cs="Tahoma"/>
          <w:b/>
          <w:bCs/>
          <w:color w:val="000000"/>
          <w:lang w:val="sr-Latn-RS"/>
        </w:rPr>
        <w:t>p</w:t>
      </w:r>
      <w:proofErr w:type="spellStart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štine</w:t>
      </w:r>
      <w:proofErr w:type="spellEnd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LS o </w:t>
      </w:r>
      <w:proofErr w:type="spellStart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njegovom</w:t>
      </w:r>
      <w:proofErr w:type="spellEnd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usvajanju</w:t>
      </w:r>
      <w:proofErr w:type="spellEnd"/>
      <w:r w:rsidRPr="00DD03F6">
        <w:rPr>
          <w:rFonts w:ascii="Tahoma" w:eastAsia="Times New Roman" w:hAnsi="Tahoma" w:cs="Tahoma"/>
          <w:b/>
          <w:bCs/>
          <w:color w:val="000000"/>
          <w:lang w:val="sr-Cyrl-RS"/>
        </w:rPr>
        <w:t>;</w:t>
      </w:r>
    </w:p>
    <w:p w14:paraId="167A0CD9" w14:textId="3940B854" w:rsidR="0030102B" w:rsidRPr="00A45CA0" w:rsidRDefault="00AC7D1D" w:rsidP="0030102B">
      <w:pPr>
        <w:pStyle w:val="ListParagraph"/>
        <w:numPr>
          <w:ilvl w:val="0"/>
          <w:numId w:val="6"/>
        </w:numPr>
        <w:spacing w:after="80"/>
        <w:ind w:left="794" w:hanging="357"/>
        <w:contextualSpacing w:val="0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lastRenderedPageBreak/>
        <w:t>Ukoliko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t>ste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t>potvrdno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t>odgovorili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t>na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t>pitanje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 A2 </w:t>
      </w: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t>iz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t>Obrasca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t>prilažete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AC7D1D">
        <w:rPr>
          <w:rFonts w:ascii="Tahoma" w:eastAsia="Times New Roman" w:hAnsi="Tahoma" w:cs="Tahoma"/>
          <w:color w:val="000000"/>
          <w:lang w:val="sr-Cyrl-RS"/>
        </w:rPr>
        <w:t>sve</w:t>
      </w:r>
      <w:proofErr w:type="spellEnd"/>
      <w:r w:rsidRPr="00AC7D1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važeće</w:t>
      </w:r>
      <w:proofErr w:type="spellEnd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sektorske</w:t>
      </w:r>
      <w:proofErr w:type="spellEnd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dokumente</w:t>
      </w:r>
      <w:proofErr w:type="spellEnd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javnih</w:t>
      </w:r>
      <w:proofErr w:type="spellEnd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politika</w:t>
      </w:r>
      <w:proofErr w:type="spellEnd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(</w:t>
      </w:r>
      <w:proofErr w:type="spellStart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strategija</w:t>
      </w:r>
      <w:proofErr w:type="spellEnd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/</w:t>
      </w:r>
      <w:proofErr w:type="spellStart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program</w:t>
      </w:r>
      <w:proofErr w:type="spellEnd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/(</w:t>
      </w:r>
      <w:proofErr w:type="spellStart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akcioni</w:t>
      </w:r>
      <w:proofErr w:type="spellEnd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) </w:t>
      </w:r>
      <w:proofErr w:type="spellStart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plan</w:t>
      </w:r>
      <w:proofErr w:type="spellEnd"/>
      <w:r w:rsidRPr="001250EF">
        <w:rPr>
          <w:rFonts w:ascii="Tahoma" w:eastAsia="Times New Roman" w:hAnsi="Tahoma" w:cs="Tahoma"/>
          <w:b/>
          <w:bCs/>
          <w:color w:val="000000"/>
          <w:lang w:val="sr-Cyrl-RS"/>
        </w:rPr>
        <w:t>)</w:t>
      </w:r>
      <w:r w:rsidRPr="00AC7D1D">
        <w:rPr>
          <w:rFonts w:ascii="Tahoma" w:eastAsia="Times New Roman" w:hAnsi="Tahoma" w:cs="Tahoma"/>
          <w:color w:val="000000"/>
          <w:lang w:val="sr-Cyrl-RS"/>
        </w:rPr>
        <w:t>;</w:t>
      </w:r>
    </w:p>
    <w:p w14:paraId="6603E6AE" w14:textId="212CDE90" w:rsidR="0030102B" w:rsidRPr="007044CE" w:rsidRDefault="006D44C7" w:rsidP="0030102B">
      <w:pPr>
        <w:pStyle w:val="ListParagraph"/>
        <w:numPr>
          <w:ilvl w:val="0"/>
          <w:numId w:val="6"/>
        </w:numPr>
        <w:spacing w:after="80"/>
        <w:ind w:left="794" w:hanging="357"/>
        <w:contextualSpacing w:val="0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Ukoliko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ste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potvrdno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odgovorili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na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pitanje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A3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iz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Obrasca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vezi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usvojenih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srednjoročnih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planova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neki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od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navedenih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perioda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prilažete</w:t>
      </w:r>
      <w:proofErr w:type="spellEnd"/>
      <w:r w:rsidRPr="00C652D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652D0">
        <w:rPr>
          <w:rFonts w:ascii="Tahoma" w:eastAsia="Times New Roman" w:hAnsi="Tahoma" w:cs="Tahoma"/>
          <w:color w:val="000000"/>
          <w:lang w:val="sr-Cyrl-RS"/>
        </w:rPr>
        <w:t>usvojene</w:t>
      </w:r>
      <w:proofErr w:type="spellEnd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>srednjoročne</w:t>
      </w:r>
      <w:proofErr w:type="spellEnd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>planove</w:t>
      </w:r>
      <w:proofErr w:type="spellEnd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>kao</w:t>
      </w:r>
      <w:proofErr w:type="spellEnd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i </w:t>
      </w:r>
      <w:proofErr w:type="spellStart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>odluke</w:t>
      </w:r>
      <w:proofErr w:type="spellEnd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>Skupštine</w:t>
      </w:r>
      <w:proofErr w:type="spellEnd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LS o </w:t>
      </w:r>
      <w:proofErr w:type="spellStart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>njihovom</w:t>
      </w:r>
      <w:proofErr w:type="spellEnd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 </w:t>
      </w:r>
      <w:proofErr w:type="spellStart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>usvajanju</w:t>
      </w:r>
      <w:proofErr w:type="spellEnd"/>
      <w:r w:rsidRPr="006D44C7">
        <w:rPr>
          <w:rFonts w:ascii="Tahoma" w:eastAsia="Times New Roman" w:hAnsi="Tahoma" w:cs="Tahoma"/>
          <w:b/>
          <w:bCs/>
          <w:color w:val="000000"/>
          <w:lang w:val="sr-Cyrl-RS"/>
        </w:rPr>
        <w:t>.</w:t>
      </w:r>
    </w:p>
    <w:p w14:paraId="3EB58517" w14:textId="48AC6558" w:rsidR="0030102B" w:rsidRPr="00A45CA0" w:rsidRDefault="0030102B" w:rsidP="002F405D">
      <w:pPr>
        <w:pStyle w:val="Heading2"/>
      </w:pPr>
      <w:bookmarkStart w:id="9" w:name="_Toc534958166"/>
      <w:bookmarkStart w:id="10" w:name="_Toc163568019"/>
      <w:r w:rsidRPr="00A45CA0">
        <w:t xml:space="preserve">3.3. </w:t>
      </w:r>
      <w:bookmarkEnd w:id="9"/>
      <w:r w:rsidR="001A7BD5" w:rsidRPr="001A7BD5">
        <w:t>Na koji način poslati konkursnu dokumentaciju?</w:t>
      </w:r>
      <w:bookmarkEnd w:id="10"/>
    </w:p>
    <w:p w14:paraId="1F83DD46" w14:textId="3A0EC9AA" w:rsidR="00C409F8" w:rsidRDefault="00C4048E" w:rsidP="0030102B">
      <w:pPr>
        <w:jc w:val="both"/>
        <w:rPr>
          <w:rFonts w:ascii="Tahoma" w:eastAsia="Times New Roman" w:hAnsi="Tahoma" w:cs="Tahoma"/>
          <w:color w:val="000000"/>
          <w:lang w:val="sr-Latn-RS"/>
        </w:rPr>
      </w:pP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Prijave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je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potrebno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dostaviti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b/>
          <w:bCs/>
          <w:color w:val="000000"/>
          <w:lang w:val="sr-Cyrl-RS"/>
        </w:rPr>
        <w:t>elektronskom</w:t>
      </w:r>
      <w:proofErr w:type="spellEnd"/>
      <w:r w:rsidRPr="00C4048E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b/>
          <w:bCs/>
          <w:color w:val="000000"/>
          <w:lang w:val="sr-Cyrl-RS"/>
        </w:rPr>
        <w:t>poštom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na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elektronsku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adresu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: </w:t>
      </w:r>
      <w:hyperlink r:id="rId11" w:history="1">
        <w:r w:rsidR="00A11E8F">
          <w:rPr>
            <w:rStyle w:val="Hyperlink"/>
            <w:rFonts w:ascii="Tahoma" w:eastAsia="Times New Roman" w:hAnsi="Tahoma" w:cs="Tahoma"/>
            <w:lang w:val="sr-Cyrl-RS"/>
          </w:rPr>
          <w:t>secretariat@skgo.org</w:t>
        </w:r>
      </w:hyperlink>
      <w:r w:rsidR="00A11E8F">
        <w:rPr>
          <w:rFonts w:ascii="Tahoma" w:eastAsia="Times New Roman" w:hAnsi="Tahoma" w:cs="Tahoma"/>
          <w:color w:val="000000"/>
          <w:lang w:val="sr-Latn-RS"/>
        </w:rPr>
        <w:t xml:space="preserve"> </w:t>
      </w:r>
      <w:r w:rsidRPr="00C4048E">
        <w:rPr>
          <w:rFonts w:ascii="Tahoma" w:eastAsia="Times New Roman" w:hAnsi="Tahoma" w:cs="Tahoma"/>
          <w:color w:val="000000"/>
          <w:lang w:val="sr-Cyrl-RS"/>
        </w:rPr>
        <w:t xml:space="preserve">a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kao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naslov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poruke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neophodno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je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navesti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“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Prijava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grada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>/opštine (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staviti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ime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grada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/opštine)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na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konkurs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izveštavanje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planu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- </w:t>
      </w:r>
      <w:proofErr w:type="spellStart"/>
      <w:r w:rsidRPr="00C4048E">
        <w:rPr>
          <w:rFonts w:ascii="Tahoma" w:eastAsia="Times New Roman" w:hAnsi="Tahoma" w:cs="Tahoma"/>
          <w:color w:val="000000"/>
          <w:lang w:val="sr-Cyrl-RS"/>
        </w:rPr>
        <w:t>Program</w:t>
      </w:r>
      <w:proofErr w:type="spellEnd"/>
      <w:r w:rsidRPr="00C4048E">
        <w:rPr>
          <w:rFonts w:ascii="Tahoma" w:eastAsia="Times New Roman" w:hAnsi="Tahoma" w:cs="Tahoma"/>
          <w:color w:val="000000"/>
          <w:lang w:val="sr-Cyrl-RS"/>
        </w:rPr>
        <w:t xml:space="preserve"> EU Exchange 6".</w:t>
      </w:r>
      <w:r w:rsidR="00C409F8">
        <w:rPr>
          <w:rFonts w:ascii="Tahoma" w:eastAsia="Times New Roman" w:hAnsi="Tahoma" w:cs="Tahoma"/>
          <w:color w:val="000000"/>
          <w:lang w:val="sr-Latn-RS"/>
        </w:rPr>
        <w:t xml:space="preserve"> </w:t>
      </w:r>
    </w:p>
    <w:p w14:paraId="54BFA210" w14:textId="20CC95C8" w:rsidR="0030102B" w:rsidRPr="00C409F8" w:rsidRDefault="00C409F8" w:rsidP="0030102B">
      <w:pPr>
        <w:jc w:val="both"/>
        <w:rPr>
          <w:rFonts w:ascii="Tahoma" w:eastAsia="Times New Roman" w:hAnsi="Tahoma" w:cs="Tahoma"/>
          <w:color w:val="000000"/>
          <w:lang w:val="sr-Latn-RS"/>
        </w:rPr>
      </w:pP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Potvrda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prijema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prijave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na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konkurs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izveštavanje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planu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razvoja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biće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poslata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elektronskim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C409F8">
        <w:rPr>
          <w:rFonts w:ascii="Tahoma" w:eastAsia="Times New Roman" w:hAnsi="Tahoma" w:cs="Tahoma"/>
          <w:color w:val="000000"/>
          <w:lang w:val="sr-Cyrl-RS"/>
        </w:rPr>
        <w:t>putem</w:t>
      </w:r>
      <w:proofErr w:type="spellEnd"/>
      <w:r w:rsidRPr="00C409F8">
        <w:rPr>
          <w:rFonts w:ascii="Tahoma" w:eastAsia="Times New Roman" w:hAnsi="Tahoma" w:cs="Tahoma"/>
          <w:color w:val="000000"/>
          <w:lang w:val="sr-Cyrl-RS"/>
        </w:rPr>
        <w:t>.</w:t>
      </w:r>
    </w:p>
    <w:p w14:paraId="56B9306E" w14:textId="27189FED" w:rsidR="0030102B" w:rsidRPr="00A45CA0" w:rsidRDefault="0030102B" w:rsidP="002F405D">
      <w:pPr>
        <w:pStyle w:val="Heading2"/>
      </w:pPr>
      <w:bookmarkStart w:id="11" w:name="_Toc534958167"/>
      <w:bookmarkStart w:id="12" w:name="_Toc163568020"/>
      <w:r w:rsidRPr="00A45CA0">
        <w:t xml:space="preserve">3.4. </w:t>
      </w:r>
      <w:bookmarkEnd w:id="11"/>
      <w:r w:rsidR="00B303AA" w:rsidRPr="00B303AA">
        <w:t>Rok za dostavljanje prijave</w:t>
      </w:r>
      <w:bookmarkEnd w:id="12"/>
    </w:p>
    <w:p w14:paraId="1983C607" w14:textId="1F109D24" w:rsidR="0030102B" w:rsidRPr="00A45CA0" w:rsidRDefault="004905D0" w:rsidP="0030102B">
      <w:pPr>
        <w:spacing w:after="80"/>
        <w:jc w:val="both"/>
        <w:rPr>
          <w:rFonts w:ascii="Tahoma" w:eastAsia="Times New Roman" w:hAnsi="Tahoma" w:cs="Tahoma"/>
          <w:snapToGrid w:val="0"/>
          <w:lang w:val="sr-Cyrl-RS"/>
        </w:rPr>
      </w:pP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Rok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za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dostavljanje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1D099E">
        <w:rPr>
          <w:rFonts w:ascii="Tahoma" w:eastAsia="Times New Roman" w:hAnsi="Tahoma" w:cs="Tahoma"/>
          <w:snapToGrid w:val="0"/>
          <w:lang w:val="sr-Cyrl-RS"/>
        </w:rPr>
        <w:t>prijave</w:t>
      </w:r>
      <w:proofErr w:type="spellEnd"/>
      <w:r w:rsidRPr="001D099E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1D099E">
        <w:rPr>
          <w:rFonts w:ascii="Tahoma" w:eastAsia="Times New Roman" w:hAnsi="Tahoma" w:cs="Tahoma"/>
          <w:snapToGrid w:val="0"/>
          <w:lang w:val="sr-Cyrl-RS"/>
        </w:rPr>
        <w:t>je</w:t>
      </w:r>
      <w:proofErr w:type="spellEnd"/>
      <w:r w:rsidRPr="001D099E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Pr="00FD76D3">
        <w:rPr>
          <w:rFonts w:ascii="Tahoma" w:eastAsia="Times New Roman" w:hAnsi="Tahoma" w:cs="Tahoma"/>
          <w:snapToGrid w:val="0"/>
          <w:lang w:val="sr-Cyrl-RS"/>
        </w:rPr>
        <w:t>p</w:t>
      </w:r>
      <w:proofErr w:type="spellStart"/>
      <w:r w:rsidR="00850D57" w:rsidRPr="00FD76D3">
        <w:rPr>
          <w:rFonts w:ascii="Tahoma" w:eastAsia="Times New Roman" w:hAnsi="Tahoma" w:cs="Tahoma"/>
          <w:snapToGrid w:val="0"/>
          <w:lang w:val="sr-Latn-RS"/>
        </w:rPr>
        <w:t>etak</w:t>
      </w:r>
      <w:proofErr w:type="spellEnd"/>
      <w:r w:rsidRPr="00FD76D3">
        <w:rPr>
          <w:rFonts w:ascii="Tahoma" w:eastAsia="Times New Roman" w:hAnsi="Tahoma" w:cs="Tahoma"/>
          <w:snapToGrid w:val="0"/>
          <w:lang w:val="sr-Cyrl-RS"/>
        </w:rPr>
        <w:t xml:space="preserve"> 1</w:t>
      </w:r>
      <w:r w:rsidR="00061779" w:rsidRPr="00FD76D3">
        <w:rPr>
          <w:rFonts w:ascii="Tahoma" w:eastAsia="Times New Roman" w:hAnsi="Tahoma" w:cs="Tahoma"/>
          <w:snapToGrid w:val="0"/>
          <w:lang w:val="sr-Latn-RS"/>
        </w:rPr>
        <w:t>7</w:t>
      </w:r>
      <w:r w:rsidRPr="00FD76D3">
        <w:rPr>
          <w:rFonts w:ascii="Tahoma" w:eastAsia="Times New Roman" w:hAnsi="Tahoma" w:cs="Tahoma"/>
          <w:snapToGrid w:val="0"/>
          <w:lang w:val="sr-Cyrl-RS"/>
        </w:rPr>
        <w:t xml:space="preserve">. </w:t>
      </w:r>
      <w:proofErr w:type="spellStart"/>
      <w:r w:rsidRPr="00FD76D3">
        <w:rPr>
          <w:rFonts w:ascii="Tahoma" w:eastAsia="Times New Roman" w:hAnsi="Tahoma" w:cs="Tahoma"/>
          <w:snapToGrid w:val="0"/>
          <w:lang w:val="sr-Cyrl-RS"/>
        </w:rPr>
        <w:t>maj</w:t>
      </w:r>
      <w:proofErr w:type="spellEnd"/>
      <w:r w:rsidRPr="00FD76D3">
        <w:rPr>
          <w:rFonts w:ascii="Tahoma" w:eastAsia="Times New Roman" w:hAnsi="Tahoma" w:cs="Tahoma"/>
          <w:snapToGrid w:val="0"/>
          <w:lang w:val="sr-Cyrl-RS"/>
        </w:rPr>
        <w:t xml:space="preserve"> 2024. </w:t>
      </w:r>
      <w:proofErr w:type="spellStart"/>
      <w:r w:rsidRPr="00FD76D3">
        <w:rPr>
          <w:rFonts w:ascii="Tahoma" w:eastAsia="Times New Roman" w:hAnsi="Tahoma" w:cs="Tahoma"/>
          <w:snapToGrid w:val="0"/>
          <w:lang w:val="sr-Cyrl-RS"/>
        </w:rPr>
        <w:t>godine</w:t>
      </w:r>
      <w:proofErr w:type="spellEnd"/>
      <w:r w:rsidRPr="00FD76D3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FD76D3">
        <w:rPr>
          <w:rFonts w:ascii="Tahoma" w:eastAsia="Times New Roman" w:hAnsi="Tahoma" w:cs="Tahoma"/>
          <w:snapToGrid w:val="0"/>
          <w:lang w:val="sr-Cyrl-RS"/>
        </w:rPr>
        <w:t>do</w:t>
      </w:r>
      <w:proofErr w:type="spellEnd"/>
      <w:r w:rsidRPr="00FD76D3">
        <w:rPr>
          <w:rFonts w:ascii="Tahoma" w:eastAsia="Times New Roman" w:hAnsi="Tahoma" w:cs="Tahoma"/>
          <w:snapToGrid w:val="0"/>
          <w:lang w:val="sr-Cyrl-RS"/>
        </w:rPr>
        <w:t xml:space="preserve"> 16:00 </w:t>
      </w:r>
      <w:proofErr w:type="spellStart"/>
      <w:r w:rsidRPr="00FD76D3">
        <w:rPr>
          <w:rFonts w:ascii="Tahoma" w:eastAsia="Times New Roman" w:hAnsi="Tahoma" w:cs="Tahoma"/>
          <w:snapToGrid w:val="0"/>
          <w:lang w:val="sr-Cyrl-RS"/>
        </w:rPr>
        <w:t>časova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po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lokalnom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vremenu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,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što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se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potvrđuje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vremenom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kada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je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poslata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elektronska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poruka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.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Prijava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dostavljena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nakon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predviđenog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roka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se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neće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uzimati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 xml:space="preserve"> u </w:t>
      </w:r>
      <w:proofErr w:type="spellStart"/>
      <w:r w:rsidRPr="004905D0">
        <w:rPr>
          <w:rFonts w:ascii="Tahoma" w:eastAsia="Times New Roman" w:hAnsi="Tahoma" w:cs="Tahoma"/>
          <w:snapToGrid w:val="0"/>
          <w:lang w:val="sr-Cyrl-RS"/>
        </w:rPr>
        <w:t>razmatranje</w:t>
      </w:r>
      <w:proofErr w:type="spellEnd"/>
      <w:r w:rsidRPr="004905D0">
        <w:rPr>
          <w:rFonts w:ascii="Tahoma" w:eastAsia="Times New Roman" w:hAnsi="Tahoma" w:cs="Tahoma"/>
          <w:snapToGrid w:val="0"/>
          <w:lang w:val="sr-Cyrl-RS"/>
        </w:rPr>
        <w:t>.</w:t>
      </w:r>
    </w:p>
    <w:p w14:paraId="6F50BAC1" w14:textId="32B88D65" w:rsidR="0030102B" w:rsidRPr="003F1C05" w:rsidRDefault="003F1C05" w:rsidP="002F405D">
      <w:pPr>
        <w:pStyle w:val="Heading2"/>
      </w:pPr>
      <w:bookmarkStart w:id="13" w:name="_Toc163568021"/>
      <w:r>
        <w:rPr>
          <w:lang w:val="sr-Cyrl-RS"/>
        </w:rPr>
        <w:t>3.5</w:t>
      </w:r>
      <w:r w:rsidR="00647042">
        <w:rPr>
          <w:lang w:val="sr-Cyrl-RS"/>
        </w:rPr>
        <w:t xml:space="preserve">. </w:t>
      </w:r>
      <w:r w:rsidR="00C8375A" w:rsidRPr="00C8375A">
        <w:t>Dodatne informacije u vezi sa konkursnom dokumentacijom</w:t>
      </w:r>
      <w:bookmarkEnd w:id="13"/>
    </w:p>
    <w:p w14:paraId="1D00CE04" w14:textId="0B62CC6C" w:rsidR="00015BE7" w:rsidRPr="00A45CA0" w:rsidRDefault="000562A5" w:rsidP="00C25136">
      <w:pPr>
        <w:pStyle w:val="BodyText"/>
        <w:rPr>
          <w:rFonts w:ascii="Tahoma" w:hAnsi="Tahoma" w:cs="Tahoma"/>
          <w:lang w:val="sr-Cyrl-RS"/>
        </w:rPr>
      </w:pPr>
      <w:proofErr w:type="spellStart"/>
      <w:r w:rsidRPr="000562A5">
        <w:rPr>
          <w:rFonts w:ascii="Tahoma" w:hAnsi="Tahoma" w:cs="Tahoma"/>
          <w:lang w:val="sr-Cyrl-RS"/>
        </w:rPr>
        <w:t>Prilikom</w:t>
      </w:r>
      <w:proofErr w:type="spellEnd"/>
      <w:r w:rsidRPr="000562A5">
        <w:rPr>
          <w:rFonts w:ascii="Tahoma" w:hAnsi="Tahoma" w:cs="Tahoma"/>
          <w:lang w:val="sr-Cyrl-RS"/>
        </w:rPr>
        <w:t xml:space="preserve"> </w:t>
      </w:r>
      <w:proofErr w:type="spellStart"/>
      <w:r w:rsidRPr="000562A5">
        <w:rPr>
          <w:rFonts w:ascii="Tahoma" w:hAnsi="Tahoma" w:cs="Tahoma"/>
          <w:lang w:val="sr-Cyrl-RS"/>
        </w:rPr>
        <w:t>pripreme</w:t>
      </w:r>
      <w:proofErr w:type="spellEnd"/>
      <w:r w:rsidRPr="000562A5">
        <w:rPr>
          <w:rFonts w:ascii="Tahoma" w:hAnsi="Tahoma" w:cs="Tahoma"/>
          <w:lang w:val="sr-Cyrl-RS"/>
        </w:rPr>
        <w:t xml:space="preserve"> </w:t>
      </w:r>
      <w:proofErr w:type="spellStart"/>
      <w:r w:rsidRPr="000562A5">
        <w:rPr>
          <w:rFonts w:ascii="Tahoma" w:hAnsi="Tahoma" w:cs="Tahoma"/>
          <w:lang w:val="sr-Cyrl-RS"/>
        </w:rPr>
        <w:t>konkursne</w:t>
      </w:r>
      <w:proofErr w:type="spellEnd"/>
      <w:r w:rsidRPr="000562A5">
        <w:rPr>
          <w:rFonts w:ascii="Tahoma" w:hAnsi="Tahoma" w:cs="Tahoma"/>
          <w:lang w:val="sr-Cyrl-RS"/>
        </w:rPr>
        <w:t xml:space="preserve"> </w:t>
      </w:r>
      <w:proofErr w:type="spellStart"/>
      <w:r w:rsidRPr="000562A5">
        <w:rPr>
          <w:rFonts w:ascii="Tahoma" w:hAnsi="Tahoma" w:cs="Tahoma"/>
          <w:lang w:val="sr-Cyrl-RS"/>
        </w:rPr>
        <w:t>dokumentacije</w:t>
      </w:r>
      <w:proofErr w:type="spellEnd"/>
      <w:r w:rsidRPr="000562A5">
        <w:rPr>
          <w:rFonts w:ascii="Tahoma" w:hAnsi="Tahoma" w:cs="Tahoma"/>
          <w:lang w:val="sr-Cyrl-RS"/>
        </w:rPr>
        <w:t xml:space="preserve"> </w:t>
      </w:r>
      <w:proofErr w:type="spellStart"/>
      <w:r w:rsidRPr="000562A5">
        <w:rPr>
          <w:rFonts w:ascii="Tahoma" w:hAnsi="Tahoma" w:cs="Tahoma"/>
          <w:lang w:val="sr-Cyrl-RS"/>
        </w:rPr>
        <w:t>neophodno</w:t>
      </w:r>
      <w:proofErr w:type="spellEnd"/>
      <w:r w:rsidRPr="000562A5">
        <w:rPr>
          <w:rFonts w:ascii="Tahoma" w:hAnsi="Tahoma" w:cs="Tahoma"/>
          <w:lang w:val="sr-Cyrl-RS"/>
        </w:rPr>
        <w:t xml:space="preserve"> </w:t>
      </w:r>
      <w:proofErr w:type="spellStart"/>
      <w:r w:rsidRPr="000562A5">
        <w:rPr>
          <w:rFonts w:ascii="Tahoma" w:hAnsi="Tahoma" w:cs="Tahoma"/>
          <w:lang w:val="sr-Cyrl-RS"/>
        </w:rPr>
        <w:t>je</w:t>
      </w:r>
      <w:proofErr w:type="spellEnd"/>
      <w:r w:rsidRPr="000562A5">
        <w:rPr>
          <w:rFonts w:ascii="Tahoma" w:hAnsi="Tahoma" w:cs="Tahoma"/>
          <w:lang w:val="sr-Cyrl-RS"/>
        </w:rPr>
        <w:t xml:space="preserve"> </w:t>
      </w:r>
      <w:proofErr w:type="spellStart"/>
      <w:r w:rsidRPr="000562A5">
        <w:rPr>
          <w:rFonts w:ascii="Tahoma" w:hAnsi="Tahoma" w:cs="Tahoma"/>
          <w:lang w:val="sr-Cyrl-RS"/>
        </w:rPr>
        <w:t>imati</w:t>
      </w:r>
      <w:proofErr w:type="spellEnd"/>
      <w:r w:rsidRPr="000562A5">
        <w:rPr>
          <w:rFonts w:ascii="Tahoma" w:hAnsi="Tahoma" w:cs="Tahoma"/>
          <w:lang w:val="sr-Cyrl-RS"/>
        </w:rPr>
        <w:t xml:space="preserve"> u </w:t>
      </w:r>
      <w:proofErr w:type="spellStart"/>
      <w:r w:rsidRPr="000562A5">
        <w:rPr>
          <w:rFonts w:ascii="Tahoma" w:hAnsi="Tahoma" w:cs="Tahoma"/>
          <w:lang w:val="sr-Cyrl-RS"/>
        </w:rPr>
        <w:t>vidu</w:t>
      </w:r>
      <w:proofErr w:type="spellEnd"/>
      <w:r w:rsidRPr="000562A5">
        <w:rPr>
          <w:rFonts w:ascii="Tahoma" w:hAnsi="Tahoma" w:cs="Tahoma"/>
          <w:lang w:val="sr-Cyrl-RS"/>
        </w:rPr>
        <w:t xml:space="preserve"> i </w:t>
      </w:r>
      <w:proofErr w:type="spellStart"/>
      <w:r w:rsidRPr="000562A5">
        <w:rPr>
          <w:rFonts w:ascii="Tahoma" w:hAnsi="Tahoma" w:cs="Tahoma"/>
          <w:lang w:val="sr-Cyrl-RS"/>
        </w:rPr>
        <w:t>sledeće</w:t>
      </w:r>
      <w:proofErr w:type="spellEnd"/>
      <w:r w:rsidRPr="000562A5">
        <w:rPr>
          <w:rFonts w:ascii="Tahoma" w:hAnsi="Tahoma" w:cs="Tahoma"/>
          <w:lang w:val="sr-Cyrl-RS"/>
        </w:rPr>
        <w:t xml:space="preserve"> </w:t>
      </w:r>
      <w:proofErr w:type="spellStart"/>
      <w:r w:rsidRPr="000562A5">
        <w:rPr>
          <w:rFonts w:ascii="Tahoma" w:hAnsi="Tahoma" w:cs="Tahoma"/>
          <w:lang w:val="sr-Cyrl-RS"/>
        </w:rPr>
        <w:t>informacije</w:t>
      </w:r>
      <w:proofErr w:type="spellEnd"/>
      <w:r w:rsidRPr="000562A5">
        <w:rPr>
          <w:rFonts w:ascii="Tahoma" w:hAnsi="Tahoma" w:cs="Tahoma"/>
          <w:lang w:val="sr-Cyrl-RS"/>
        </w:rPr>
        <w:t>:</w:t>
      </w:r>
    </w:p>
    <w:p w14:paraId="0F08A776" w14:textId="12FD2171" w:rsidR="00AC04DC" w:rsidRPr="00AC04DC" w:rsidRDefault="00AC04DC" w:rsidP="00AC04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val="sr-Cyrl-RS"/>
        </w:rPr>
      </w:pPr>
      <w:proofErr w:type="spellStart"/>
      <w:r w:rsidRPr="00AC04DC">
        <w:rPr>
          <w:rFonts w:ascii="Tahoma" w:eastAsia="Times New Roman" w:hAnsi="Tahoma" w:cs="Tahoma"/>
          <w:lang w:val="sr-Cyrl-RS"/>
        </w:rPr>
        <w:t>Konkursna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dokumentacija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dostupna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je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na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ćiriličnom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i </w:t>
      </w:r>
      <w:proofErr w:type="spellStart"/>
      <w:r w:rsidRPr="00AC04DC">
        <w:rPr>
          <w:rFonts w:ascii="Tahoma" w:eastAsia="Times New Roman" w:hAnsi="Tahoma" w:cs="Tahoma"/>
          <w:lang w:val="sr-Cyrl-RS"/>
        </w:rPr>
        <w:t>latiničnom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pismu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, i </w:t>
      </w:r>
      <w:proofErr w:type="spellStart"/>
      <w:r w:rsidRPr="00AC04DC">
        <w:rPr>
          <w:rFonts w:ascii="Tahoma" w:eastAsia="Times New Roman" w:hAnsi="Tahoma" w:cs="Tahoma"/>
          <w:lang w:val="sr-Cyrl-RS"/>
        </w:rPr>
        <w:t>prilikom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konkurisanja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se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možete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opredeliti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za </w:t>
      </w:r>
      <w:proofErr w:type="spellStart"/>
      <w:r w:rsidRPr="00AC04DC">
        <w:rPr>
          <w:rFonts w:ascii="Tahoma" w:eastAsia="Times New Roman" w:hAnsi="Tahoma" w:cs="Tahoma"/>
          <w:lang w:val="sr-Cyrl-RS"/>
        </w:rPr>
        <w:t>konkursnu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dokumentaciju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na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jednom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ili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drugom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pismu</w:t>
      </w:r>
      <w:proofErr w:type="spellEnd"/>
      <w:r w:rsidRPr="00AC04DC">
        <w:rPr>
          <w:rFonts w:ascii="Tahoma" w:eastAsia="Times New Roman" w:hAnsi="Tahoma" w:cs="Tahoma"/>
          <w:lang w:val="sr-Cyrl-RS"/>
        </w:rPr>
        <w:t>.</w:t>
      </w:r>
    </w:p>
    <w:p w14:paraId="5A0D04A6" w14:textId="2DF18B01" w:rsidR="00AC04DC" w:rsidRPr="00AC04DC" w:rsidRDefault="00AC04DC" w:rsidP="00AC04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val="sr-Cyrl-RS"/>
        </w:rPr>
      </w:pPr>
      <w:proofErr w:type="spellStart"/>
      <w:r w:rsidRPr="00AC04DC">
        <w:rPr>
          <w:rFonts w:ascii="Tahoma" w:eastAsia="Times New Roman" w:hAnsi="Tahoma" w:cs="Tahoma"/>
          <w:lang w:val="sr-Cyrl-RS"/>
        </w:rPr>
        <w:t>Podnosioci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prijava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moraju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se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pridržavati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zadatih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materijala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koji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čine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konkursnu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dokumentaciju</w:t>
      </w:r>
      <w:proofErr w:type="spellEnd"/>
      <w:r w:rsidRPr="00AC04DC">
        <w:rPr>
          <w:rFonts w:ascii="Tahoma" w:eastAsia="Times New Roman" w:hAnsi="Tahoma" w:cs="Tahoma"/>
          <w:lang w:val="sr-Cyrl-RS"/>
        </w:rPr>
        <w:t>.</w:t>
      </w:r>
    </w:p>
    <w:p w14:paraId="407849A5" w14:textId="77B103F5" w:rsidR="00AC04DC" w:rsidRPr="00AC04DC" w:rsidRDefault="00AC04DC" w:rsidP="00AC04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val="sr-Cyrl-RS"/>
        </w:rPr>
      </w:pPr>
      <w:proofErr w:type="spellStart"/>
      <w:r w:rsidRPr="00AC04DC">
        <w:rPr>
          <w:rFonts w:ascii="Tahoma" w:eastAsia="Times New Roman" w:hAnsi="Tahoma" w:cs="Tahoma"/>
          <w:lang w:val="sr-Cyrl-RS"/>
        </w:rPr>
        <w:t>Prijava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mora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biti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popunjena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na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računaru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i </w:t>
      </w:r>
      <w:proofErr w:type="spellStart"/>
      <w:r w:rsidRPr="00AC04DC">
        <w:rPr>
          <w:rFonts w:ascii="Tahoma" w:eastAsia="Times New Roman" w:hAnsi="Tahoma" w:cs="Tahoma"/>
          <w:lang w:val="sr-Cyrl-RS"/>
        </w:rPr>
        <w:t>na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srpskom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jeziku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. </w:t>
      </w:r>
      <w:proofErr w:type="spellStart"/>
      <w:r w:rsidRPr="00AC04DC">
        <w:rPr>
          <w:rFonts w:ascii="Tahoma" w:eastAsia="Times New Roman" w:hAnsi="Tahoma" w:cs="Tahoma"/>
          <w:lang w:val="sr-Cyrl-RS"/>
        </w:rPr>
        <w:t>Obrasci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popunjeni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rukom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neće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biti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razmatrani</w:t>
      </w:r>
      <w:proofErr w:type="spellEnd"/>
      <w:r w:rsidRPr="00AC04DC">
        <w:rPr>
          <w:rFonts w:ascii="Tahoma" w:eastAsia="Times New Roman" w:hAnsi="Tahoma" w:cs="Tahoma"/>
          <w:lang w:val="sr-Cyrl-RS"/>
        </w:rPr>
        <w:t>.</w:t>
      </w:r>
    </w:p>
    <w:p w14:paraId="2D307D72" w14:textId="3F2A747B" w:rsidR="00B16A1C" w:rsidRPr="00B16A1C" w:rsidRDefault="00AC04DC" w:rsidP="00B16A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val="sr-Cyrl-RS"/>
        </w:rPr>
      </w:pPr>
      <w:proofErr w:type="spellStart"/>
      <w:r w:rsidRPr="00AC04DC">
        <w:rPr>
          <w:rFonts w:ascii="Tahoma" w:eastAsia="Times New Roman" w:hAnsi="Tahoma" w:cs="Tahoma"/>
          <w:lang w:val="sr-Cyrl-RS"/>
        </w:rPr>
        <w:t>Molimo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Vas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da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Obrazac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za </w:t>
      </w:r>
      <w:proofErr w:type="spellStart"/>
      <w:r w:rsidRPr="00AC04DC">
        <w:rPr>
          <w:rFonts w:ascii="Tahoma" w:eastAsia="Times New Roman" w:hAnsi="Tahoma" w:cs="Tahoma"/>
          <w:lang w:val="sr-Cyrl-RS"/>
        </w:rPr>
        <w:t>prijavu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popunite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pažljivo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i </w:t>
      </w:r>
      <w:proofErr w:type="spellStart"/>
      <w:r w:rsidRPr="00AC04DC">
        <w:rPr>
          <w:rFonts w:ascii="Tahoma" w:eastAsia="Times New Roman" w:hAnsi="Tahoma" w:cs="Tahoma"/>
          <w:lang w:val="sr-Cyrl-RS"/>
        </w:rPr>
        <w:t>što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jasnije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kako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bi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se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mogao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adekvatno</w:t>
      </w:r>
      <w:proofErr w:type="spellEnd"/>
      <w:r w:rsidRPr="00AC04DC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AC04DC">
        <w:rPr>
          <w:rFonts w:ascii="Tahoma" w:eastAsia="Times New Roman" w:hAnsi="Tahoma" w:cs="Tahoma"/>
          <w:lang w:val="sr-Cyrl-RS"/>
        </w:rPr>
        <w:t>oceniti</w:t>
      </w:r>
      <w:proofErr w:type="spellEnd"/>
      <w:r w:rsidRPr="00AC04DC">
        <w:rPr>
          <w:rFonts w:ascii="Tahoma" w:eastAsia="Times New Roman" w:hAnsi="Tahoma" w:cs="Tahoma"/>
          <w:lang w:val="sr-Cyrl-RS"/>
        </w:rPr>
        <w:t>.</w:t>
      </w:r>
    </w:p>
    <w:p w14:paraId="7F739781" w14:textId="1E833E7D" w:rsidR="0064035D" w:rsidRPr="00A45CA0" w:rsidRDefault="00B16A1C" w:rsidP="00B16A1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val="sr-Cyrl-RS"/>
        </w:rPr>
      </w:pPr>
      <w:r w:rsidRPr="00B16A1C">
        <w:rPr>
          <w:rFonts w:ascii="Tahoma" w:eastAsia="Times New Roman" w:hAnsi="Tahoma" w:cs="Tahoma"/>
          <w:snapToGrid w:val="0"/>
          <w:lang w:val="sr-Cyrl-RS"/>
        </w:rPr>
        <w:t xml:space="preserve">Za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dodatne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informacije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zainteresovani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podnosioci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mogu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se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obratiti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SKGO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svakog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radnog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dana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u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periodu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trajanja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konkursa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putem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telefona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064 870 33 85 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kao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i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elektronskom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poštom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proofErr w:type="spellStart"/>
      <w:r w:rsidRPr="00B16A1C">
        <w:rPr>
          <w:rFonts w:ascii="Tahoma" w:eastAsia="Times New Roman" w:hAnsi="Tahoma" w:cs="Tahoma"/>
          <w:snapToGrid w:val="0"/>
          <w:lang w:val="sr-Cyrl-RS"/>
        </w:rPr>
        <w:t>na</w:t>
      </w:r>
      <w:proofErr w:type="spellEnd"/>
      <w:r w:rsidRPr="00B16A1C">
        <w:rPr>
          <w:rFonts w:ascii="Tahoma" w:eastAsia="Times New Roman" w:hAnsi="Tahoma" w:cs="Tahoma"/>
          <w:snapToGrid w:val="0"/>
          <w:lang w:val="sr-Cyrl-RS"/>
        </w:rPr>
        <w:t xml:space="preserve"> </w:t>
      </w:r>
      <w:hyperlink r:id="rId12" w:history="1">
        <w:r w:rsidRPr="00176EFA">
          <w:rPr>
            <w:rStyle w:val="Hyperlink"/>
            <w:rFonts w:ascii="Tahoma" w:eastAsia="Times New Roman" w:hAnsi="Tahoma" w:cs="Tahoma"/>
            <w:snapToGrid w:val="0"/>
            <w:lang w:val="sr-Cyrl-RS"/>
          </w:rPr>
          <w:t>sara.talijan@skgo.org</w:t>
        </w:r>
      </w:hyperlink>
      <w:r w:rsidRPr="00B16A1C">
        <w:rPr>
          <w:rFonts w:ascii="Tahoma" w:eastAsia="Times New Roman" w:hAnsi="Tahoma" w:cs="Tahoma"/>
          <w:snapToGrid w:val="0"/>
          <w:lang w:val="sr-Cyrl-RS"/>
        </w:rPr>
        <w:t>;</w:t>
      </w:r>
      <w:r w:rsidRPr="008C77A8">
        <w:rPr>
          <w:rFonts w:ascii="Tahoma" w:eastAsia="Times New Roman" w:hAnsi="Tahoma" w:cs="Tahoma"/>
          <w:snapToGrid w:val="0"/>
          <w:lang w:val="sr-Cyrl-RS"/>
        </w:rPr>
        <w:t xml:space="preserve"> </w:t>
      </w:r>
    </w:p>
    <w:p w14:paraId="76243136" w14:textId="0561D6D9" w:rsidR="0030102B" w:rsidRPr="00A45CA0" w:rsidRDefault="0030102B" w:rsidP="002F405D">
      <w:pPr>
        <w:pStyle w:val="Heading2"/>
      </w:pPr>
      <w:bookmarkStart w:id="14" w:name="_Toc534958168"/>
      <w:bookmarkStart w:id="15" w:name="_Toc163568022"/>
      <w:bookmarkStart w:id="16" w:name="_Toc266375118"/>
      <w:r w:rsidRPr="00A45CA0">
        <w:t xml:space="preserve">3.6. </w:t>
      </w:r>
      <w:bookmarkEnd w:id="14"/>
      <w:r w:rsidR="00E92ED3" w:rsidRPr="00E92ED3">
        <w:t>Proces evaluacije i selekcije prijava</w:t>
      </w:r>
      <w:bookmarkEnd w:id="15"/>
    </w:p>
    <w:p w14:paraId="6580CC2B" w14:textId="59E031BB" w:rsidR="0030102B" w:rsidRPr="00A45CA0" w:rsidRDefault="00694A3B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694A3B">
        <w:rPr>
          <w:rFonts w:ascii="Tahoma" w:eastAsia="Times New Roman" w:hAnsi="Tahoma" w:cs="Tahoma"/>
          <w:color w:val="000000" w:themeColor="text1"/>
          <w:lang w:val="sr-Cyrl-RS"/>
        </w:rPr>
        <w:t>Prijave</w:t>
      </w:r>
      <w:proofErr w:type="spellEnd"/>
      <w:r w:rsidRPr="00694A3B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694A3B">
        <w:rPr>
          <w:rFonts w:ascii="Tahoma" w:eastAsia="Times New Roman" w:hAnsi="Tahoma" w:cs="Tahoma"/>
          <w:color w:val="000000" w:themeColor="text1"/>
          <w:lang w:val="sr-Cyrl-RS"/>
        </w:rPr>
        <w:t>pregleda</w:t>
      </w:r>
      <w:proofErr w:type="spellEnd"/>
      <w:r w:rsidRPr="00694A3B">
        <w:rPr>
          <w:rFonts w:ascii="Tahoma" w:eastAsia="Times New Roman" w:hAnsi="Tahoma" w:cs="Tahoma"/>
          <w:color w:val="000000" w:themeColor="text1"/>
          <w:lang w:val="sr-Cyrl-RS"/>
        </w:rPr>
        <w:t xml:space="preserve"> i </w:t>
      </w:r>
      <w:proofErr w:type="spellStart"/>
      <w:r w:rsidRPr="00694A3B">
        <w:rPr>
          <w:rFonts w:ascii="Tahoma" w:eastAsia="Times New Roman" w:hAnsi="Tahoma" w:cs="Tahoma"/>
          <w:color w:val="000000" w:themeColor="text1"/>
          <w:lang w:val="sr-Cyrl-RS"/>
        </w:rPr>
        <w:t>ocenjuje</w:t>
      </w:r>
      <w:proofErr w:type="spellEnd"/>
      <w:r w:rsidRPr="00694A3B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694A3B">
        <w:rPr>
          <w:rFonts w:ascii="Tahoma" w:eastAsia="Times New Roman" w:hAnsi="Tahoma" w:cs="Tahoma"/>
          <w:color w:val="000000" w:themeColor="text1"/>
          <w:lang w:val="sr-Cyrl-RS"/>
        </w:rPr>
        <w:t>Komisija</w:t>
      </w:r>
      <w:proofErr w:type="spellEnd"/>
      <w:r w:rsidRPr="00694A3B">
        <w:rPr>
          <w:rFonts w:ascii="Tahoma" w:eastAsia="Times New Roman" w:hAnsi="Tahoma" w:cs="Tahoma"/>
          <w:color w:val="000000" w:themeColor="text1"/>
          <w:lang w:val="sr-Cyrl-RS"/>
        </w:rPr>
        <w:t xml:space="preserve"> za </w:t>
      </w:r>
      <w:proofErr w:type="spellStart"/>
      <w:r w:rsidRPr="00694A3B">
        <w:rPr>
          <w:rFonts w:ascii="Tahoma" w:eastAsia="Times New Roman" w:hAnsi="Tahoma" w:cs="Tahoma"/>
          <w:color w:val="000000" w:themeColor="text1"/>
          <w:lang w:val="sr-Cyrl-RS"/>
        </w:rPr>
        <w:t>evaluaciju</w:t>
      </w:r>
      <w:proofErr w:type="spellEnd"/>
      <w:r w:rsidRPr="00694A3B">
        <w:rPr>
          <w:rFonts w:ascii="Tahoma" w:eastAsia="Times New Roman" w:hAnsi="Tahoma" w:cs="Tahoma"/>
          <w:color w:val="000000" w:themeColor="text1"/>
          <w:lang w:val="sr-Cyrl-RS"/>
        </w:rPr>
        <w:t xml:space="preserve"> i </w:t>
      </w:r>
      <w:proofErr w:type="spellStart"/>
      <w:r w:rsidRPr="00694A3B">
        <w:rPr>
          <w:rFonts w:ascii="Tahoma" w:eastAsia="Times New Roman" w:hAnsi="Tahoma" w:cs="Tahoma"/>
          <w:color w:val="000000" w:themeColor="text1"/>
          <w:lang w:val="sr-Cyrl-RS"/>
        </w:rPr>
        <w:t>rangiranje</w:t>
      </w:r>
      <w:proofErr w:type="spellEnd"/>
      <w:r w:rsidRPr="00694A3B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694A3B">
        <w:rPr>
          <w:rFonts w:ascii="Tahoma" w:eastAsia="Times New Roman" w:hAnsi="Tahoma" w:cs="Tahoma"/>
          <w:color w:val="000000" w:themeColor="text1"/>
          <w:lang w:val="sr-Cyrl-RS"/>
        </w:rPr>
        <w:t>prijava</w:t>
      </w:r>
      <w:proofErr w:type="spellEnd"/>
      <w:r w:rsidRPr="00694A3B">
        <w:rPr>
          <w:rFonts w:ascii="Tahoma" w:eastAsia="Times New Roman" w:hAnsi="Tahoma" w:cs="Tahoma"/>
          <w:color w:val="000000" w:themeColor="text1"/>
          <w:lang w:val="sr-Cyrl-RS"/>
        </w:rPr>
        <w:t>.</w:t>
      </w:r>
    </w:p>
    <w:p w14:paraId="192568A9" w14:textId="1C90F74C" w:rsidR="0030102B" w:rsidRPr="00A45CA0" w:rsidRDefault="00692454" w:rsidP="0030102B">
      <w:pPr>
        <w:spacing w:before="240"/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692454">
        <w:rPr>
          <w:rFonts w:ascii="Tahoma" w:eastAsia="Times New Roman" w:hAnsi="Tahoma" w:cs="Tahoma"/>
          <w:b/>
          <w:bCs/>
          <w:color w:val="000000"/>
          <w:lang w:val="sr-Cyrl-RS"/>
        </w:rPr>
        <w:t>Korak</w:t>
      </w:r>
      <w:proofErr w:type="spellEnd"/>
      <w:r w:rsidRPr="00692454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1</w:t>
      </w:r>
      <w:r w:rsidRPr="00692454">
        <w:rPr>
          <w:rFonts w:ascii="Tahoma" w:eastAsia="Times New Roman" w:hAnsi="Tahoma" w:cs="Tahoma"/>
          <w:color w:val="000000"/>
          <w:lang w:val="sr-Cyrl-RS"/>
        </w:rPr>
        <w:t xml:space="preserve">: </w:t>
      </w:r>
      <w:proofErr w:type="spellStart"/>
      <w:r w:rsidRPr="00692454">
        <w:rPr>
          <w:rFonts w:ascii="Tahoma" w:eastAsia="Times New Roman" w:hAnsi="Tahoma" w:cs="Tahoma"/>
          <w:color w:val="000000"/>
          <w:lang w:val="sr-Cyrl-RS"/>
        </w:rPr>
        <w:t>Administrativna</w:t>
      </w:r>
      <w:proofErr w:type="spellEnd"/>
      <w:r w:rsidRPr="00692454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692454">
        <w:rPr>
          <w:rFonts w:ascii="Tahoma" w:eastAsia="Times New Roman" w:hAnsi="Tahoma" w:cs="Tahoma"/>
          <w:color w:val="000000"/>
          <w:lang w:val="sr-Cyrl-RS"/>
        </w:rPr>
        <w:t>provera</w:t>
      </w:r>
      <w:proofErr w:type="spellEnd"/>
    </w:p>
    <w:p w14:paraId="4B2CE978" w14:textId="31ED5D2C" w:rsidR="0030102B" w:rsidRPr="00A45CA0" w:rsidRDefault="007D7C9D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7D7C9D">
        <w:rPr>
          <w:rFonts w:ascii="Tahoma" w:eastAsia="Times New Roman" w:hAnsi="Tahoma" w:cs="Tahoma"/>
          <w:color w:val="000000"/>
          <w:lang w:val="sr-Cyrl-RS"/>
        </w:rPr>
        <w:t xml:space="preserve">U </w:t>
      </w:r>
      <w:proofErr w:type="spellStart"/>
      <w:r w:rsidRPr="007D7C9D">
        <w:rPr>
          <w:rFonts w:ascii="Tahoma" w:eastAsia="Times New Roman" w:hAnsi="Tahoma" w:cs="Tahoma"/>
          <w:color w:val="000000"/>
          <w:lang w:val="sr-Cyrl-RS"/>
        </w:rPr>
        <w:t>okviru</w:t>
      </w:r>
      <w:proofErr w:type="spellEnd"/>
      <w:r w:rsidRPr="007D7C9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D7C9D">
        <w:rPr>
          <w:rFonts w:ascii="Tahoma" w:eastAsia="Times New Roman" w:hAnsi="Tahoma" w:cs="Tahoma"/>
          <w:color w:val="000000"/>
          <w:lang w:val="sr-Cyrl-RS"/>
        </w:rPr>
        <w:t>ovog</w:t>
      </w:r>
      <w:proofErr w:type="spellEnd"/>
      <w:r w:rsidRPr="007D7C9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D7C9D">
        <w:rPr>
          <w:rFonts w:ascii="Tahoma" w:eastAsia="Times New Roman" w:hAnsi="Tahoma" w:cs="Tahoma"/>
          <w:color w:val="000000"/>
          <w:lang w:val="sr-Cyrl-RS"/>
        </w:rPr>
        <w:t>koraka</w:t>
      </w:r>
      <w:proofErr w:type="spellEnd"/>
      <w:r w:rsidRPr="007D7C9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D7C9D">
        <w:rPr>
          <w:rFonts w:ascii="Tahoma" w:eastAsia="Times New Roman" w:hAnsi="Tahoma" w:cs="Tahoma"/>
          <w:color w:val="000000"/>
          <w:lang w:val="sr-Cyrl-RS"/>
        </w:rPr>
        <w:t>proveravaće</w:t>
      </w:r>
      <w:proofErr w:type="spellEnd"/>
      <w:r w:rsidRPr="007D7C9D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7D7C9D">
        <w:rPr>
          <w:rFonts w:ascii="Tahoma" w:eastAsia="Times New Roman" w:hAnsi="Tahoma" w:cs="Tahoma"/>
          <w:color w:val="000000"/>
          <w:lang w:val="sr-Cyrl-RS"/>
        </w:rPr>
        <w:t>se</w:t>
      </w:r>
      <w:proofErr w:type="spellEnd"/>
      <w:r w:rsidRPr="007D7C9D">
        <w:rPr>
          <w:rFonts w:ascii="Tahoma" w:eastAsia="Times New Roman" w:hAnsi="Tahoma" w:cs="Tahoma"/>
          <w:color w:val="000000"/>
          <w:lang w:val="sr-Cyrl-RS"/>
        </w:rPr>
        <w:t>:</w:t>
      </w:r>
    </w:p>
    <w:p w14:paraId="5A02C36B" w14:textId="77777777" w:rsidR="00F54FA3" w:rsidRPr="00F54FA3" w:rsidRDefault="00F54FA3" w:rsidP="00F54FA3">
      <w:pPr>
        <w:pStyle w:val="ListParagraph"/>
        <w:numPr>
          <w:ilvl w:val="0"/>
          <w:numId w:val="4"/>
        </w:numPr>
        <w:spacing w:after="40"/>
        <w:ind w:left="357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proofErr w:type="spellStart"/>
      <w:r w:rsidRPr="00F54FA3">
        <w:rPr>
          <w:rFonts w:ascii="Tahoma" w:eastAsia="Times New Roman" w:hAnsi="Tahoma" w:cs="Tahoma"/>
          <w:lang w:val="sr-Cyrl-RS"/>
        </w:rPr>
        <w:t>Poštovanje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roka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za </w:t>
      </w:r>
      <w:proofErr w:type="spellStart"/>
      <w:r w:rsidRPr="00F54FA3">
        <w:rPr>
          <w:rFonts w:ascii="Tahoma" w:eastAsia="Times New Roman" w:hAnsi="Tahoma" w:cs="Tahoma"/>
          <w:lang w:val="sr-Cyrl-RS"/>
        </w:rPr>
        <w:t>podnošenje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prijave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. </w:t>
      </w:r>
      <w:proofErr w:type="spellStart"/>
      <w:r w:rsidRPr="00F54FA3">
        <w:rPr>
          <w:rFonts w:ascii="Tahoma" w:eastAsia="Times New Roman" w:hAnsi="Tahoma" w:cs="Tahoma"/>
          <w:lang w:val="sr-Cyrl-RS"/>
        </w:rPr>
        <w:t>Ukoliko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rok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nije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ispoštovan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, </w:t>
      </w:r>
      <w:proofErr w:type="spellStart"/>
      <w:r w:rsidRPr="00F54FA3">
        <w:rPr>
          <w:rFonts w:ascii="Tahoma" w:eastAsia="Times New Roman" w:hAnsi="Tahoma" w:cs="Tahoma"/>
          <w:lang w:val="sr-Cyrl-RS"/>
        </w:rPr>
        <w:t>prijava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će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biti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odbačena</w:t>
      </w:r>
      <w:proofErr w:type="spellEnd"/>
      <w:r w:rsidRPr="00F54FA3">
        <w:rPr>
          <w:rFonts w:ascii="Tahoma" w:eastAsia="Times New Roman" w:hAnsi="Tahoma" w:cs="Tahoma"/>
          <w:lang w:val="sr-Cyrl-RS"/>
        </w:rPr>
        <w:t>;</w:t>
      </w:r>
    </w:p>
    <w:p w14:paraId="370FCE64" w14:textId="77777777" w:rsidR="00F54FA3" w:rsidRPr="00F54FA3" w:rsidRDefault="00F54FA3" w:rsidP="00F54FA3">
      <w:pPr>
        <w:pStyle w:val="ListParagraph"/>
        <w:numPr>
          <w:ilvl w:val="0"/>
          <w:numId w:val="4"/>
        </w:numPr>
        <w:spacing w:after="40"/>
        <w:ind w:left="357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proofErr w:type="spellStart"/>
      <w:r w:rsidRPr="00F54FA3">
        <w:rPr>
          <w:rFonts w:ascii="Tahoma" w:eastAsia="Times New Roman" w:hAnsi="Tahoma" w:cs="Tahoma"/>
          <w:lang w:val="sr-Cyrl-RS"/>
        </w:rPr>
        <w:lastRenderedPageBreak/>
        <w:t>Da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li </w:t>
      </w:r>
      <w:proofErr w:type="spellStart"/>
      <w:r w:rsidRPr="00F54FA3">
        <w:rPr>
          <w:rFonts w:ascii="Tahoma" w:eastAsia="Times New Roman" w:hAnsi="Tahoma" w:cs="Tahoma"/>
          <w:lang w:val="sr-Cyrl-RS"/>
        </w:rPr>
        <w:t>su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ispunjeni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kriterijumi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za </w:t>
      </w:r>
      <w:proofErr w:type="spellStart"/>
      <w:r w:rsidRPr="00F54FA3">
        <w:rPr>
          <w:rFonts w:ascii="Tahoma" w:eastAsia="Times New Roman" w:hAnsi="Tahoma" w:cs="Tahoma"/>
          <w:lang w:val="sr-Cyrl-RS"/>
        </w:rPr>
        <w:t>konkurisanje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navedeni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u </w:t>
      </w:r>
      <w:proofErr w:type="spellStart"/>
      <w:r w:rsidRPr="00F54FA3">
        <w:rPr>
          <w:rFonts w:ascii="Tahoma" w:eastAsia="Times New Roman" w:hAnsi="Tahoma" w:cs="Tahoma"/>
          <w:lang w:val="sr-Cyrl-RS"/>
        </w:rPr>
        <w:t>odeljku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3.1. </w:t>
      </w:r>
      <w:proofErr w:type="spellStart"/>
      <w:r w:rsidRPr="00F54FA3">
        <w:rPr>
          <w:rFonts w:ascii="Tahoma" w:eastAsia="Times New Roman" w:hAnsi="Tahoma" w:cs="Tahoma"/>
          <w:lang w:val="sr-Cyrl-RS"/>
        </w:rPr>
        <w:t>ovih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smernica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– u </w:t>
      </w:r>
      <w:proofErr w:type="spellStart"/>
      <w:r w:rsidRPr="00F54FA3">
        <w:rPr>
          <w:rFonts w:ascii="Tahoma" w:eastAsia="Times New Roman" w:hAnsi="Tahoma" w:cs="Tahoma"/>
          <w:lang w:val="sr-Cyrl-RS"/>
        </w:rPr>
        <w:t>slučaju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da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kriterijumi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nisu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zadovoljeni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, </w:t>
      </w:r>
      <w:proofErr w:type="spellStart"/>
      <w:r w:rsidRPr="00F54FA3">
        <w:rPr>
          <w:rFonts w:ascii="Tahoma" w:eastAsia="Times New Roman" w:hAnsi="Tahoma" w:cs="Tahoma"/>
          <w:lang w:val="sr-Cyrl-RS"/>
        </w:rPr>
        <w:t>prijava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će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biti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odbačena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po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ovom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osnovu</w:t>
      </w:r>
      <w:proofErr w:type="spellEnd"/>
      <w:r w:rsidRPr="00F54FA3">
        <w:rPr>
          <w:rFonts w:ascii="Tahoma" w:eastAsia="Times New Roman" w:hAnsi="Tahoma" w:cs="Tahoma"/>
          <w:lang w:val="sr-Cyrl-RS"/>
        </w:rPr>
        <w:t>;</w:t>
      </w:r>
    </w:p>
    <w:p w14:paraId="299595BC" w14:textId="2EB4A479" w:rsidR="00590416" w:rsidRPr="000107FA" w:rsidRDefault="00F54FA3" w:rsidP="00590416">
      <w:pPr>
        <w:pStyle w:val="ListParagraph"/>
        <w:numPr>
          <w:ilvl w:val="0"/>
          <w:numId w:val="4"/>
        </w:numPr>
        <w:spacing w:after="40"/>
        <w:ind w:left="357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proofErr w:type="spellStart"/>
      <w:r w:rsidRPr="00F54FA3">
        <w:rPr>
          <w:rFonts w:ascii="Tahoma" w:eastAsia="Times New Roman" w:hAnsi="Tahoma" w:cs="Tahoma"/>
          <w:lang w:val="sr-Cyrl-RS"/>
        </w:rPr>
        <w:t>Da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li </w:t>
      </w:r>
      <w:proofErr w:type="spellStart"/>
      <w:r w:rsidRPr="00F54FA3">
        <w:rPr>
          <w:rFonts w:ascii="Tahoma" w:eastAsia="Times New Roman" w:hAnsi="Tahoma" w:cs="Tahoma"/>
          <w:lang w:val="sr-Cyrl-RS"/>
        </w:rPr>
        <w:t>prijava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sadrži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potpunu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konkursnu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dokumentaciju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u </w:t>
      </w:r>
      <w:proofErr w:type="spellStart"/>
      <w:r w:rsidRPr="00F54FA3">
        <w:rPr>
          <w:rFonts w:ascii="Tahoma" w:eastAsia="Times New Roman" w:hAnsi="Tahoma" w:cs="Tahoma"/>
          <w:lang w:val="sr-Cyrl-RS"/>
        </w:rPr>
        <w:t>skladu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sa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zahtevima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koji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su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navedeni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u </w:t>
      </w:r>
      <w:proofErr w:type="spellStart"/>
      <w:r w:rsidRPr="00F54FA3">
        <w:rPr>
          <w:rFonts w:ascii="Tahoma" w:eastAsia="Times New Roman" w:hAnsi="Tahoma" w:cs="Tahoma"/>
          <w:lang w:val="sr-Cyrl-RS"/>
        </w:rPr>
        <w:t>odeljku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3.2. </w:t>
      </w:r>
      <w:proofErr w:type="spellStart"/>
      <w:r w:rsidRPr="00F54FA3">
        <w:rPr>
          <w:rFonts w:ascii="Tahoma" w:eastAsia="Times New Roman" w:hAnsi="Tahoma" w:cs="Tahoma"/>
          <w:lang w:val="sr-Cyrl-RS"/>
        </w:rPr>
        <w:t>ovih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Smernica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. U </w:t>
      </w:r>
      <w:proofErr w:type="spellStart"/>
      <w:r w:rsidRPr="00F54FA3">
        <w:rPr>
          <w:rFonts w:ascii="Tahoma" w:eastAsia="Times New Roman" w:hAnsi="Tahoma" w:cs="Tahoma"/>
          <w:lang w:val="sr-Cyrl-RS"/>
        </w:rPr>
        <w:t>slučaju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da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prijava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ne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sadrži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sve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zahtevane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materijale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koji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čine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konkursnu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dokumentaciju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, </w:t>
      </w:r>
      <w:proofErr w:type="spellStart"/>
      <w:r w:rsidRPr="00F54FA3">
        <w:rPr>
          <w:rFonts w:ascii="Tahoma" w:eastAsia="Times New Roman" w:hAnsi="Tahoma" w:cs="Tahoma"/>
          <w:lang w:val="sr-Cyrl-RS"/>
        </w:rPr>
        <w:t>biće</w:t>
      </w:r>
      <w:proofErr w:type="spellEnd"/>
      <w:r w:rsidRPr="00F54FA3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Pr="00F54FA3">
        <w:rPr>
          <w:rFonts w:ascii="Tahoma" w:eastAsia="Times New Roman" w:hAnsi="Tahoma" w:cs="Tahoma"/>
          <w:lang w:val="sr-Cyrl-RS"/>
        </w:rPr>
        <w:t>odbačena</w:t>
      </w:r>
      <w:proofErr w:type="spellEnd"/>
      <w:r w:rsidRPr="00F54FA3">
        <w:rPr>
          <w:rFonts w:ascii="Tahoma" w:eastAsia="Times New Roman" w:hAnsi="Tahoma" w:cs="Tahoma"/>
          <w:lang w:val="sr-Cyrl-RS"/>
        </w:rPr>
        <w:t>.</w:t>
      </w:r>
    </w:p>
    <w:p w14:paraId="6B8F93BF" w14:textId="4F029158" w:rsidR="0030102B" w:rsidRPr="00A45CA0" w:rsidRDefault="004E4000" w:rsidP="0030102B">
      <w:pPr>
        <w:spacing w:before="240"/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4E4000">
        <w:rPr>
          <w:rFonts w:ascii="Tahoma" w:eastAsia="Times New Roman" w:hAnsi="Tahoma" w:cs="Tahoma"/>
          <w:b/>
          <w:bCs/>
          <w:color w:val="000000"/>
          <w:lang w:val="sr-Cyrl-RS"/>
        </w:rPr>
        <w:t>Korak</w:t>
      </w:r>
      <w:proofErr w:type="spellEnd"/>
      <w:r w:rsidRPr="004E4000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2:</w:t>
      </w:r>
      <w:r w:rsidRPr="004E400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4E4000">
        <w:rPr>
          <w:rFonts w:ascii="Tahoma" w:eastAsia="Times New Roman" w:hAnsi="Tahoma" w:cs="Tahoma"/>
          <w:color w:val="000000"/>
          <w:lang w:val="sr-Cyrl-RS"/>
        </w:rPr>
        <w:t>Tehnička</w:t>
      </w:r>
      <w:proofErr w:type="spellEnd"/>
      <w:r w:rsidRPr="004E400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4E4000">
        <w:rPr>
          <w:rFonts w:ascii="Tahoma" w:eastAsia="Times New Roman" w:hAnsi="Tahoma" w:cs="Tahoma"/>
          <w:color w:val="000000"/>
          <w:lang w:val="sr-Cyrl-RS"/>
        </w:rPr>
        <w:t>evaluacija</w:t>
      </w:r>
      <w:proofErr w:type="spellEnd"/>
      <w:r w:rsidRPr="004E4000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4E4000">
        <w:rPr>
          <w:rFonts w:ascii="Tahoma" w:eastAsia="Times New Roman" w:hAnsi="Tahoma" w:cs="Tahoma"/>
          <w:color w:val="000000"/>
          <w:lang w:val="sr-Cyrl-RS"/>
        </w:rPr>
        <w:t>prijava</w:t>
      </w:r>
      <w:proofErr w:type="spellEnd"/>
    </w:p>
    <w:p w14:paraId="449F6689" w14:textId="77777777" w:rsidR="001C61D8" w:rsidRPr="008C77A8" w:rsidRDefault="001C61D8" w:rsidP="0030102B">
      <w:pPr>
        <w:spacing w:after="200" w:line="276" w:lineRule="auto"/>
        <w:jc w:val="both"/>
        <w:rPr>
          <w:rFonts w:ascii="Tahoma" w:eastAsia="Times New Roman" w:hAnsi="Tahoma" w:cs="Tahoma"/>
          <w:color w:val="000000" w:themeColor="text1"/>
          <w:lang w:val="sr-Cyrl-RS"/>
        </w:rPr>
      </w:pP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Prijave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koje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prođu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administrativnu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proveru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biće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ocenjene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od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strane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Komisije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za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evaluaciju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i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rangiranje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prijava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na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osnovu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informacija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koje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su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navedene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u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Obrascu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 xml:space="preserve"> za </w:t>
      </w:r>
      <w:proofErr w:type="spellStart"/>
      <w:r w:rsidRPr="001C61D8">
        <w:rPr>
          <w:rFonts w:ascii="Tahoma" w:eastAsia="Times New Roman" w:hAnsi="Tahoma" w:cs="Tahoma"/>
          <w:color w:val="000000" w:themeColor="text1"/>
          <w:lang w:val="sr-Cyrl-RS"/>
        </w:rPr>
        <w:t>prijavu</w:t>
      </w:r>
      <w:proofErr w:type="spellEnd"/>
      <w:r w:rsidRPr="001C61D8">
        <w:rPr>
          <w:rFonts w:ascii="Tahoma" w:eastAsia="Times New Roman" w:hAnsi="Tahoma" w:cs="Tahoma"/>
          <w:color w:val="000000" w:themeColor="text1"/>
          <w:lang w:val="sr-Cyrl-RS"/>
        </w:rPr>
        <w:t>.</w:t>
      </w:r>
    </w:p>
    <w:p w14:paraId="46E9E2EE" w14:textId="78AD7B1B" w:rsidR="0030102B" w:rsidRPr="00A45CA0" w:rsidRDefault="00B81A5B" w:rsidP="0030102B">
      <w:pPr>
        <w:spacing w:after="200" w:line="276" w:lineRule="auto"/>
        <w:jc w:val="both"/>
        <w:rPr>
          <w:rFonts w:ascii="Tahoma" w:hAnsi="Tahoma" w:cs="Tahoma"/>
          <w:lang w:val="sr-Cyrl-RS"/>
        </w:rPr>
      </w:pPr>
      <w:proofErr w:type="spellStart"/>
      <w:r w:rsidRPr="00B81A5B">
        <w:rPr>
          <w:rFonts w:ascii="Tahoma" w:hAnsi="Tahoma" w:cs="Tahoma"/>
          <w:lang w:val="sr-Cyrl-RS"/>
        </w:rPr>
        <w:t>Tehnička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ocena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prijava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će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biti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izvršena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na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osnovu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kriterijuma</w:t>
      </w:r>
      <w:proofErr w:type="spellEnd"/>
      <w:r w:rsidRPr="00B81A5B">
        <w:rPr>
          <w:rFonts w:ascii="Tahoma" w:hAnsi="Tahoma" w:cs="Tahoma"/>
          <w:lang w:val="sr-Cyrl-RS"/>
        </w:rPr>
        <w:t xml:space="preserve"> za </w:t>
      </w:r>
      <w:proofErr w:type="spellStart"/>
      <w:r w:rsidRPr="00B81A5B">
        <w:rPr>
          <w:rFonts w:ascii="Tahoma" w:hAnsi="Tahoma" w:cs="Tahoma"/>
          <w:lang w:val="sr-Cyrl-RS"/>
        </w:rPr>
        <w:t>ocenjivanje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datim</w:t>
      </w:r>
      <w:proofErr w:type="spellEnd"/>
      <w:r w:rsidRPr="00B81A5B">
        <w:rPr>
          <w:rFonts w:ascii="Tahoma" w:hAnsi="Tahoma" w:cs="Tahoma"/>
          <w:lang w:val="sr-Cyrl-RS"/>
        </w:rPr>
        <w:t xml:space="preserve"> u </w:t>
      </w:r>
      <w:proofErr w:type="spellStart"/>
      <w:r w:rsidRPr="00B81A5B">
        <w:rPr>
          <w:rFonts w:ascii="Tahoma" w:hAnsi="Tahoma" w:cs="Tahoma"/>
          <w:lang w:val="sr-Cyrl-RS"/>
        </w:rPr>
        <w:t>tabeli</w:t>
      </w:r>
      <w:proofErr w:type="spellEnd"/>
      <w:r w:rsidRPr="00B81A5B">
        <w:rPr>
          <w:rFonts w:ascii="Tahoma" w:hAnsi="Tahoma" w:cs="Tahoma"/>
          <w:lang w:val="sr-Cyrl-RS"/>
        </w:rPr>
        <w:t xml:space="preserve"> za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ocenu</w:t>
      </w:r>
      <w:proofErr w:type="spellEnd"/>
      <w:r w:rsidRPr="00B81A5B">
        <w:rPr>
          <w:rFonts w:ascii="Tahoma" w:hAnsi="Tahoma" w:cs="Tahoma"/>
          <w:u w:val="single"/>
          <w:lang w:val="sr-Cyrl-RS"/>
        </w:rPr>
        <w:t xml:space="preserve"> za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konkurs</w:t>
      </w:r>
      <w:proofErr w:type="spellEnd"/>
      <w:r w:rsidRPr="00B81A5B">
        <w:rPr>
          <w:rFonts w:ascii="Tahoma" w:hAnsi="Tahoma" w:cs="Tahoma"/>
          <w:u w:val="single"/>
          <w:lang w:val="sr-Cyrl-RS"/>
        </w:rPr>
        <w:t xml:space="preserve"> za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dodelu</w:t>
      </w:r>
      <w:proofErr w:type="spellEnd"/>
      <w:r w:rsidRPr="00B81A5B">
        <w:rPr>
          <w:rFonts w:ascii="Tahoma" w:hAnsi="Tahoma" w:cs="Tahoma"/>
          <w:u w:val="single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podrške</w:t>
      </w:r>
      <w:proofErr w:type="spellEnd"/>
      <w:r w:rsidRPr="00B81A5B">
        <w:rPr>
          <w:rFonts w:ascii="Tahoma" w:hAnsi="Tahoma" w:cs="Tahoma"/>
          <w:u w:val="single"/>
          <w:lang w:val="sr-Cyrl-RS"/>
        </w:rPr>
        <w:t xml:space="preserve"> za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izradu</w:t>
      </w:r>
      <w:proofErr w:type="spellEnd"/>
      <w:r w:rsidRPr="00B81A5B">
        <w:rPr>
          <w:rFonts w:ascii="Tahoma" w:hAnsi="Tahoma" w:cs="Tahoma"/>
          <w:u w:val="single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izveštaja</w:t>
      </w:r>
      <w:proofErr w:type="spellEnd"/>
      <w:r w:rsidRPr="00B81A5B">
        <w:rPr>
          <w:rFonts w:ascii="Tahoma" w:hAnsi="Tahoma" w:cs="Tahoma"/>
          <w:u w:val="single"/>
          <w:lang w:val="sr-Cyrl-RS"/>
        </w:rPr>
        <w:t xml:space="preserve"> o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učincima</w:t>
      </w:r>
      <w:proofErr w:type="spellEnd"/>
      <w:r w:rsidRPr="00B81A5B">
        <w:rPr>
          <w:rFonts w:ascii="Tahoma" w:hAnsi="Tahoma" w:cs="Tahoma"/>
          <w:u w:val="single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sprovođenja</w:t>
      </w:r>
      <w:proofErr w:type="spellEnd"/>
      <w:r w:rsidRPr="00B81A5B">
        <w:rPr>
          <w:rFonts w:ascii="Tahoma" w:hAnsi="Tahoma" w:cs="Tahoma"/>
          <w:u w:val="single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plana</w:t>
      </w:r>
      <w:proofErr w:type="spellEnd"/>
      <w:r w:rsidRPr="00B81A5B">
        <w:rPr>
          <w:rFonts w:ascii="Tahoma" w:hAnsi="Tahoma" w:cs="Tahoma"/>
          <w:u w:val="single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u w:val="single"/>
          <w:lang w:val="sr-Cyrl-RS"/>
        </w:rPr>
        <w:t>razvoja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koja</w:t>
      </w:r>
      <w:proofErr w:type="spellEnd"/>
      <w:r w:rsidRPr="00B81A5B">
        <w:rPr>
          <w:rFonts w:ascii="Tahoma" w:hAnsi="Tahoma" w:cs="Tahoma"/>
          <w:lang w:val="sr-Cyrl-RS"/>
        </w:rPr>
        <w:t xml:space="preserve"> </w:t>
      </w:r>
      <w:proofErr w:type="spellStart"/>
      <w:r w:rsidRPr="00B81A5B">
        <w:rPr>
          <w:rFonts w:ascii="Tahoma" w:hAnsi="Tahoma" w:cs="Tahoma"/>
          <w:lang w:val="sr-Cyrl-RS"/>
        </w:rPr>
        <w:t>sledi</w:t>
      </w:r>
      <w:proofErr w:type="spellEnd"/>
      <w:r w:rsidRPr="00B81A5B">
        <w:rPr>
          <w:rFonts w:ascii="Tahoma" w:hAnsi="Tahoma" w:cs="Tahoma"/>
          <w:lang w:val="sr-Cyrl-RS"/>
        </w:rPr>
        <w:t>:</w:t>
      </w:r>
    </w:p>
    <w:p w14:paraId="15B3A259" w14:textId="28AB9658" w:rsidR="0030102B" w:rsidRPr="008C77A8" w:rsidRDefault="00E46845" w:rsidP="0030102B">
      <w:pPr>
        <w:jc w:val="both"/>
        <w:rPr>
          <w:rFonts w:ascii="Tahoma" w:eastAsia="Times New Roman" w:hAnsi="Tahoma" w:cs="Tahoma"/>
          <w:color w:val="000000"/>
          <w:u w:val="single"/>
          <w:lang w:val="sr-Cyrl-RS"/>
        </w:rPr>
      </w:pP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Reference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 u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tabeli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na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odeljke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prijavnog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obrasca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koji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se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boduje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odnose</w:t>
      </w:r>
      <w:proofErr w:type="spellEnd"/>
      <w:r w:rsidRPr="00E46845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lang w:val="sr-Cyrl-RS"/>
        </w:rPr>
        <w:t>se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na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Obrazac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za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prijavu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LS za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dobijanje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stručne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podrške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za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izradu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izveštaja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o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učincima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sprovođenja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plana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razvoja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LS – </w:t>
      </w:r>
      <w:proofErr w:type="spellStart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Prilog</w:t>
      </w:r>
      <w:proofErr w:type="spellEnd"/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 xml:space="preserve"> </w:t>
      </w:r>
      <w:r w:rsidR="00185720">
        <w:rPr>
          <w:rFonts w:ascii="Tahoma" w:eastAsia="Times New Roman" w:hAnsi="Tahoma" w:cs="Tahoma"/>
          <w:color w:val="000000"/>
          <w:u w:val="single"/>
          <w:lang w:val="sr-Latn-RS"/>
        </w:rPr>
        <w:t>3</w:t>
      </w:r>
      <w:r w:rsidRPr="00E46845">
        <w:rPr>
          <w:rFonts w:ascii="Tahoma" w:eastAsia="Times New Roman" w:hAnsi="Tahoma" w:cs="Tahoma"/>
          <w:color w:val="000000"/>
          <w:u w:val="single"/>
          <w:lang w:val="sr-Cyrl-RS"/>
        </w:rPr>
        <w:t>.</w:t>
      </w:r>
    </w:p>
    <w:p w14:paraId="62985A03" w14:textId="77777777" w:rsidR="00B36697" w:rsidRPr="008C77A8" w:rsidRDefault="00B36697" w:rsidP="0030102B">
      <w:pPr>
        <w:jc w:val="both"/>
        <w:rPr>
          <w:rFonts w:ascii="Tahoma" w:eastAsia="Times New Roman" w:hAnsi="Tahoma" w:cs="Tahoma"/>
          <w:snapToGrid w:val="0"/>
          <w:lang w:val="sr-Cyrl-R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514"/>
        <w:gridCol w:w="1711"/>
        <w:gridCol w:w="1842"/>
      </w:tblGrid>
      <w:tr w:rsidR="0030102B" w:rsidRPr="00850D57" w14:paraId="2AB6F47D" w14:textId="77777777" w:rsidTr="002C1F28">
        <w:trPr>
          <w:trHeight w:val="501"/>
          <w:tblHeader/>
        </w:trPr>
        <w:tc>
          <w:tcPr>
            <w:tcW w:w="5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2767FAAA" w14:textId="498444EE" w:rsidR="0030102B" w:rsidRPr="00A45CA0" w:rsidRDefault="00A50372" w:rsidP="002C1F28">
            <w:pPr>
              <w:spacing w:after="200" w:line="276" w:lineRule="auto"/>
              <w:rPr>
                <w:rFonts w:ascii="Tahoma" w:hAnsi="Tahoma" w:cs="Tahoma"/>
                <w:b/>
                <w:lang w:val="sr-Cyrl-RS"/>
              </w:rPr>
            </w:pPr>
            <w:proofErr w:type="spellStart"/>
            <w:r w:rsidRPr="00A50372">
              <w:rPr>
                <w:rFonts w:ascii="Tahoma" w:hAnsi="Tahoma" w:cs="Tahoma"/>
                <w:b/>
                <w:lang w:val="sr-Cyrl-RS"/>
              </w:rPr>
              <w:t>Kriterijumi</w:t>
            </w:r>
            <w:proofErr w:type="spellEnd"/>
            <w:r w:rsidRPr="00A50372">
              <w:rPr>
                <w:rFonts w:ascii="Tahoma" w:hAnsi="Tahoma" w:cs="Tahoma"/>
                <w:b/>
                <w:lang w:val="sr-Cyrl-RS"/>
              </w:rPr>
              <w:t xml:space="preserve"> za </w:t>
            </w:r>
            <w:proofErr w:type="spellStart"/>
            <w:r w:rsidRPr="00A50372">
              <w:rPr>
                <w:rFonts w:ascii="Tahoma" w:hAnsi="Tahoma" w:cs="Tahoma"/>
                <w:b/>
                <w:lang w:val="sr-Cyrl-RS"/>
              </w:rPr>
              <w:t>ocenjivanje</w:t>
            </w:r>
            <w:proofErr w:type="spellEnd"/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5B08066D" w14:textId="5530303C" w:rsidR="0030102B" w:rsidRPr="00A45CA0" w:rsidRDefault="00DF0E37" w:rsidP="002C1F28">
            <w:pPr>
              <w:spacing w:after="12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proofErr w:type="spellStart"/>
            <w:r w:rsidRPr="00DF0E37">
              <w:rPr>
                <w:rFonts w:ascii="Tahoma" w:hAnsi="Tahoma" w:cs="Tahoma"/>
                <w:b/>
                <w:lang w:val="sr-Cyrl-RS"/>
              </w:rPr>
              <w:t>Maksimalan</w:t>
            </w:r>
            <w:proofErr w:type="spellEnd"/>
            <w:r w:rsidRPr="00DF0E37">
              <w:rPr>
                <w:rFonts w:ascii="Tahoma" w:hAnsi="Tahoma" w:cs="Tahoma"/>
                <w:b/>
                <w:lang w:val="sr-Cyrl-RS"/>
              </w:rPr>
              <w:t xml:space="preserve"> </w:t>
            </w:r>
            <w:proofErr w:type="spellStart"/>
            <w:r w:rsidRPr="00DF0E37">
              <w:rPr>
                <w:rFonts w:ascii="Tahoma" w:hAnsi="Tahoma" w:cs="Tahoma"/>
                <w:b/>
                <w:lang w:val="sr-Cyrl-RS"/>
              </w:rPr>
              <w:t>broj</w:t>
            </w:r>
            <w:proofErr w:type="spellEnd"/>
            <w:r w:rsidRPr="00DF0E37">
              <w:rPr>
                <w:rFonts w:ascii="Tahoma" w:hAnsi="Tahoma" w:cs="Tahoma"/>
                <w:b/>
                <w:lang w:val="sr-Cyrl-RS"/>
              </w:rPr>
              <w:t xml:space="preserve"> </w:t>
            </w:r>
            <w:proofErr w:type="spellStart"/>
            <w:r w:rsidRPr="00DF0E37">
              <w:rPr>
                <w:rFonts w:ascii="Tahoma" w:hAnsi="Tahoma" w:cs="Tahoma"/>
                <w:b/>
                <w:lang w:val="sr-Cyrl-RS"/>
              </w:rPr>
              <w:t>bodova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5DEB660D" w14:textId="4A1F659F" w:rsidR="0030102B" w:rsidRPr="00A45CA0" w:rsidRDefault="00DF0E37" w:rsidP="002C1F28">
            <w:pPr>
              <w:spacing w:after="12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proofErr w:type="spellStart"/>
            <w:r w:rsidRPr="00DF0E37">
              <w:rPr>
                <w:rFonts w:ascii="Tahoma" w:hAnsi="Tahoma" w:cs="Tahoma"/>
                <w:b/>
                <w:lang w:val="sr-Cyrl-RS"/>
              </w:rPr>
              <w:t>Relevantni</w:t>
            </w:r>
            <w:proofErr w:type="spellEnd"/>
            <w:r w:rsidRPr="00DF0E37">
              <w:rPr>
                <w:rFonts w:ascii="Tahoma" w:hAnsi="Tahoma" w:cs="Tahoma"/>
                <w:b/>
                <w:lang w:val="sr-Cyrl-RS"/>
              </w:rPr>
              <w:t xml:space="preserve"> </w:t>
            </w:r>
            <w:proofErr w:type="spellStart"/>
            <w:r w:rsidRPr="00DF0E37">
              <w:rPr>
                <w:rFonts w:ascii="Tahoma" w:hAnsi="Tahoma" w:cs="Tahoma"/>
                <w:b/>
                <w:lang w:val="sr-Cyrl-RS"/>
              </w:rPr>
              <w:t>odeljci</w:t>
            </w:r>
            <w:proofErr w:type="spellEnd"/>
            <w:r w:rsidRPr="00DF0E37">
              <w:rPr>
                <w:rFonts w:ascii="Tahoma" w:hAnsi="Tahoma" w:cs="Tahoma"/>
                <w:b/>
                <w:lang w:val="sr-Cyrl-RS"/>
              </w:rPr>
              <w:t xml:space="preserve"> u </w:t>
            </w:r>
            <w:proofErr w:type="spellStart"/>
            <w:r w:rsidRPr="00DF0E37">
              <w:rPr>
                <w:rFonts w:ascii="Tahoma" w:hAnsi="Tahoma" w:cs="Tahoma"/>
                <w:b/>
                <w:lang w:val="sr-Cyrl-RS"/>
              </w:rPr>
              <w:t>Obrascu</w:t>
            </w:r>
            <w:proofErr w:type="spellEnd"/>
            <w:r w:rsidRPr="00DF0E37">
              <w:rPr>
                <w:rFonts w:ascii="Tahoma" w:hAnsi="Tahoma" w:cs="Tahoma"/>
                <w:b/>
                <w:lang w:val="sr-Cyrl-RS"/>
              </w:rPr>
              <w:t xml:space="preserve"> za </w:t>
            </w:r>
            <w:proofErr w:type="spellStart"/>
            <w:r w:rsidRPr="00DF0E37">
              <w:rPr>
                <w:rFonts w:ascii="Tahoma" w:hAnsi="Tahoma" w:cs="Tahoma"/>
                <w:b/>
                <w:lang w:val="sr-Cyrl-RS"/>
              </w:rPr>
              <w:t>prijavu</w:t>
            </w:r>
            <w:proofErr w:type="spellEnd"/>
          </w:p>
        </w:tc>
      </w:tr>
      <w:tr w:rsidR="0030102B" w:rsidRPr="00A45CA0" w14:paraId="20EFC3EF" w14:textId="77777777" w:rsidTr="002C1F28">
        <w:tc>
          <w:tcPr>
            <w:tcW w:w="55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2B3D" w14:textId="476E3BDC" w:rsidR="0030102B" w:rsidRPr="00A45CA0" w:rsidRDefault="00411D58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 w:rsidRPr="00411D58">
              <w:rPr>
                <w:rFonts w:ascii="Tahoma" w:hAnsi="Tahoma" w:cs="Tahoma"/>
                <w:b/>
                <w:bCs/>
                <w:lang w:val="sr-Cyrl-RS"/>
              </w:rPr>
              <w:t>PLANSKI PROCESI U LS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D961B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6691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А</w:t>
            </w:r>
          </w:p>
        </w:tc>
      </w:tr>
      <w:tr w:rsidR="0030102B" w:rsidRPr="00A45CA0" w14:paraId="6D124F08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293C79F3" w14:textId="2CA91C48" w:rsidR="0030102B" w:rsidRPr="00A45CA0" w:rsidRDefault="0063142F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lang w:val="sr-Cyrl-RS"/>
              </w:rPr>
            </w:pPr>
            <w:proofErr w:type="spellStart"/>
            <w:r w:rsidRPr="0063142F">
              <w:rPr>
                <w:rFonts w:ascii="Tahoma" w:hAnsi="Tahoma" w:cs="Tahoma"/>
                <w:lang w:val="sr-Cyrl-RS"/>
              </w:rPr>
              <w:t>Krovni</w:t>
            </w:r>
            <w:proofErr w:type="spellEnd"/>
            <w:r w:rsidRPr="0063142F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63142F">
              <w:rPr>
                <w:rFonts w:ascii="Tahoma" w:hAnsi="Tahoma" w:cs="Tahoma"/>
                <w:lang w:val="sr-Cyrl-RS"/>
              </w:rPr>
              <w:t>dokument</w:t>
            </w:r>
            <w:proofErr w:type="spellEnd"/>
            <w:r w:rsidRPr="0063142F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63142F">
              <w:rPr>
                <w:rFonts w:ascii="Tahoma" w:hAnsi="Tahoma" w:cs="Tahoma"/>
                <w:lang w:val="sr-Cyrl-RS"/>
              </w:rPr>
              <w:t>usvojen</w:t>
            </w:r>
            <w:proofErr w:type="spellEnd"/>
            <w:r w:rsidRPr="0063142F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63142F">
              <w:rPr>
                <w:rFonts w:ascii="Tahoma" w:hAnsi="Tahoma" w:cs="Tahoma"/>
                <w:lang w:val="sr-Cyrl-RS"/>
              </w:rPr>
              <w:t>do</w:t>
            </w:r>
            <w:proofErr w:type="spellEnd"/>
            <w:r w:rsidRPr="0063142F">
              <w:rPr>
                <w:rFonts w:ascii="Tahoma" w:hAnsi="Tahoma" w:cs="Tahoma"/>
                <w:lang w:val="sr-Cyrl-RS"/>
              </w:rPr>
              <w:t xml:space="preserve"> 31. </w:t>
            </w:r>
            <w:proofErr w:type="spellStart"/>
            <w:r w:rsidRPr="0063142F">
              <w:rPr>
                <w:rFonts w:ascii="Tahoma" w:hAnsi="Tahoma" w:cs="Tahoma"/>
                <w:lang w:val="sr-Cyrl-RS"/>
              </w:rPr>
              <w:t>marta</w:t>
            </w:r>
            <w:proofErr w:type="spellEnd"/>
            <w:r w:rsidRPr="0063142F">
              <w:rPr>
                <w:rFonts w:ascii="Tahoma" w:hAnsi="Tahoma" w:cs="Tahoma"/>
                <w:lang w:val="sr-Cyrl-RS"/>
              </w:rPr>
              <w:t xml:space="preserve"> 2021. </w:t>
            </w:r>
            <w:proofErr w:type="spellStart"/>
            <w:r w:rsidRPr="0063142F">
              <w:rPr>
                <w:rFonts w:ascii="Tahoma" w:hAnsi="Tahoma" w:cs="Tahoma"/>
                <w:lang w:val="sr-Cyrl-RS"/>
              </w:rPr>
              <w:t>godine</w:t>
            </w:r>
            <w:proofErr w:type="spellEnd"/>
            <w:r w:rsidRPr="0063142F">
              <w:rPr>
                <w:rFonts w:ascii="Tahoma" w:hAnsi="Tahoma" w:cs="Tahoma"/>
                <w:lang w:val="sr-Cyrl-RS"/>
              </w:rPr>
              <w:t xml:space="preserve"> i </w:t>
            </w:r>
            <w:proofErr w:type="spellStart"/>
            <w:r w:rsidRPr="0063142F">
              <w:rPr>
                <w:rFonts w:ascii="Tahoma" w:hAnsi="Tahoma" w:cs="Tahoma"/>
                <w:i/>
                <w:iCs/>
                <w:lang w:val="sr-Cyrl-RS"/>
              </w:rPr>
              <w:t>kompletnost</w:t>
            </w:r>
            <w:proofErr w:type="spellEnd"/>
            <w:r w:rsidRPr="0063142F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63142F">
              <w:rPr>
                <w:rFonts w:ascii="Tahoma" w:hAnsi="Tahoma" w:cs="Tahoma"/>
                <w:i/>
                <w:iCs/>
                <w:lang w:val="sr-Cyrl-RS"/>
              </w:rPr>
              <w:t>navedenih</w:t>
            </w:r>
            <w:proofErr w:type="spellEnd"/>
            <w:r w:rsidRPr="0063142F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63142F">
              <w:rPr>
                <w:rFonts w:ascii="Tahoma" w:hAnsi="Tahoma" w:cs="Tahoma"/>
                <w:i/>
                <w:iCs/>
                <w:lang w:val="sr-Cyrl-RS"/>
              </w:rPr>
              <w:t>informacija</w:t>
            </w:r>
            <w:proofErr w:type="spellEnd"/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101F15C1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429D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 xml:space="preserve">A1 </w:t>
            </w:r>
          </w:p>
        </w:tc>
      </w:tr>
      <w:tr w:rsidR="0030102B" w:rsidRPr="00A45CA0" w14:paraId="439E9324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726EE97A" w14:textId="454B4B40" w:rsidR="0030102B" w:rsidRPr="00F415C7" w:rsidRDefault="00F415C7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lang w:val="en-GB"/>
              </w:rPr>
            </w:pPr>
            <w:proofErr w:type="spellStart"/>
            <w:r w:rsidRPr="00F415C7">
              <w:rPr>
                <w:rFonts w:ascii="Tahoma" w:hAnsi="Tahoma" w:cs="Tahoma"/>
                <w:lang w:val="en-GB"/>
              </w:rPr>
              <w:t>Postojeći</w:t>
            </w:r>
            <w:proofErr w:type="spellEnd"/>
            <w:r w:rsidRPr="00F415C7">
              <w:rPr>
                <w:rFonts w:ascii="Tahoma" w:hAnsi="Tahoma" w:cs="Tahoma"/>
                <w:lang w:val="en-GB"/>
              </w:rPr>
              <w:t xml:space="preserve"> i/</w:t>
            </w:r>
            <w:proofErr w:type="spellStart"/>
            <w:r w:rsidRPr="00F415C7">
              <w:rPr>
                <w:rFonts w:ascii="Tahoma" w:hAnsi="Tahoma" w:cs="Tahoma"/>
                <w:lang w:val="en-GB"/>
              </w:rPr>
              <w:t>ili</w:t>
            </w:r>
            <w:proofErr w:type="spellEnd"/>
            <w:r w:rsidRPr="00F415C7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Pr="00F415C7">
              <w:rPr>
                <w:rFonts w:ascii="Tahoma" w:hAnsi="Tahoma" w:cs="Tahoma"/>
                <w:lang w:val="en-GB"/>
              </w:rPr>
              <w:t>sektorski</w:t>
            </w:r>
            <w:proofErr w:type="spellEnd"/>
            <w:r w:rsidRPr="00F415C7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Pr="00F415C7">
              <w:rPr>
                <w:rFonts w:ascii="Tahoma" w:hAnsi="Tahoma" w:cs="Tahoma"/>
                <w:lang w:val="en-GB"/>
              </w:rPr>
              <w:t>dokumenti</w:t>
            </w:r>
            <w:proofErr w:type="spellEnd"/>
            <w:r w:rsidRPr="00F415C7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Pr="00F415C7">
              <w:rPr>
                <w:rFonts w:ascii="Tahoma" w:hAnsi="Tahoma" w:cs="Tahoma"/>
                <w:lang w:val="en-GB"/>
              </w:rPr>
              <w:t>javnih</w:t>
            </w:r>
            <w:proofErr w:type="spellEnd"/>
            <w:r w:rsidRPr="00F415C7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Pr="00F415C7">
              <w:rPr>
                <w:rFonts w:ascii="Tahoma" w:hAnsi="Tahoma" w:cs="Tahoma"/>
                <w:lang w:val="en-GB"/>
              </w:rPr>
              <w:t>politika</w:t>
            </w:r>
            <w:proofErr w:type="spellEnd"/>
            <w:r w:rsidRPr="00F415C7">
              <w:rPr>
                <w:rFonts w:ascii="Tahoma" w:hAnsi="Tahoma" w:cs="Tahoma"/>
                <w:lang w:val="en-GB"/>
              </w:rPr>
              <w:t xml:space="preserve"> LS u </w:t>
            </w:r>
            <w:proofErr w:type="spellStart"/>
            <w:r w:rsidRPr="00F415C7">
              <w:rPr>
                <w:rFonts w:ascii="Tahoma" w:hAnsi="Tahoma" w:cs="Tahoma"/>
                <w:lang w:val="en-GB"/>
              </w:rPr>
              <w:t>izradi</w:t>
            </w:r>
            <w:proofErr w:type="spellEnd"/>
            <w:r w:rsidRPr="00F415C7">
              <w:rPr>
                <w:rFonts w:ascii="Tahoma" w:hAnsi="Tahoma" w:cs="Tahoma"/>
                <w:i/>
                <w:iCs/>
                <w:lang w:val="en-GB"/>
              </w:rPr>
              <w:t xml:space="preserve"> - </w:t>
            </w:r>
            <w:proofErr w:type="spellStart"/>
            <w:r w:rsidRPr="00F415C7">
              <w:rPr>
                <w:rFonts w:ascii="Tahoma" w:hAnsi="Tahoma" w:cs="Tahoma"/>
                <w:i/>
                <w:iCs/>
                <w:lang w:val="en-GB"/>
              </w:rPr>
              <w:t>kompletnost</w:t>
            </w:r>
            <w:proofErr w:type="spellEnd"/>
            <w:r w:rsidRPr="00F415C7">
              <w:rPr>
                <w:rFonts w:ascii="Tahoma" w:hAnsi="Tahoma" w:cs="Tahoma"/>
                <w:i/>
                <w:iCs/>
                <w:lang w:val="en-GB"/>
              </w:rPr>
              <w:t xml:space="preserve"> </w:t>
            </w:r>
            <w:proofErr w:type="spellStart"/>
            <w:r w:rsidRPr="00F415C7">
              <w:rPr>
                <w:rFonts w:ascii="Tahoma" w:hAnsi="Tahoma" w:cs="Tahoma"/>
                <w:i/>
                <w:iCs/>
                <w:lang w:val="en-GB"/>
              </w:rPr>
              <w:t>navedenih</w:t>
            </w:r>
            <w:proofErr w:type="spellEnd"/>
            <w:r w:rsidRPr="00F415C7">
              <w:rPr>
                <w:rFonts w:ascii="Tahoma" w:hAnsi="Tahoma" w:cs="Tahoma"/>
                <w:i/>
                <w:iCs/>
                <w:lang w:val="en-GB"/>
              </w:rPr>
              <w:t xml:space="preserve"> </w:t>
            </w:r>
            <w:proofErr w:type="spellStart"/>
            <w:r w:rsidRPr="00F415C7">
              <w:rPr>
                <w:rFonts w:ascii="Tahoma" w:hAnsi="Tahoma" w:cs="Tahoma"/>
                <w:i/>
                <w:iCs/>
                <w:lang w:val="en-GB"/>
              </w:rPr>
              <w:t>informacija</w:t>
            </w:r>
            <w:proofErr w:type="spellEnd"/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23FFEC07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E8204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A2</w:t>
            </w:r>
          </w:p>
        </w:tc>
      </w:tr>
      <w:tr w:rsidR="0030102B" w:rsidRPr="00A45CA0" w14:paraId="7A335A38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0F84FF0E" w14:textId="6405D984" w:rsidR="00325EA7" w:rsidRPr="00325EA7" w:rsidRDefault="00325EA7" w:rsidP="00325EA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i/>
                <w:iCs/>
                <w:lang w:val="sr-Cyrl-RS"/>
              </w:rPr>
            </w:pPr>
            <w:proofErr w:type="spellStart"/>
            <w:r w:rsidRPr="006C37BB">
              <w:rPr>
                <w:rFonts w:ascii="Tahoma" w:hAnsi="Tahoma" w:cs="Tahoma"/>
                <w:lang w:val="sr-Cyrl-RS"/>
              </w:rPr>
              <w:t>Srednjoročno</w:t>
            </w:r>
            <w:proofErr w:type="spellEnd"/>
            <w:r w:rsidRPr="006C37BB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6C37BB">
              <w:rPr>
                <w:rFonts w:ascii="Tahoma" w:hAnsi="Tahoma" w:cs="Tahoma"/>
                <w:lang w:val="sr-Cyrl-RS"/>
              </w:rPr>
              <w:t>planiranje</w:t>
            </w:r>
            <w:proofErr w:type="spellEnd"/>
            <w:r w:rsidRPr="006C37BB">
              <w:rPr>
                <w:rFonts w:ascii="Tahoma" w:hAnsi="Tahoma" w:cs="Tahoma"/>
                <w:lang w:val="sr-Cyrl-RS"/>
              </w:rPr>
              <w:t xml:space="preserve"> u JLS </w:t>
            </w:r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–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kompletnost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i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kvalitet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navedenih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informacija</w:t>
            </w:r>
            <w:proofErr w:type="spellEnd"/>
          </w:p>
          <w:p w14:paraId="357FB50E" w14:textId="7C3977BA" w:rsidR="0081682E" w:rsidRPr="00341823" w:rsidRDefault="00325EA7" w:rsidP="00325EA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i/>
                <w:iCs/>
                <w:lang w:val="sr-Cyrl-RS"/>
              </w:rPr>
            </w:pPr>
            <w:r w:rsidRPr="00325EA7">
              <w:rPr>
                <w:rFonts w:ascii="Tahoma" w:hAnsi="Tahoma" w:cs="Tahoma"/>
                <w:i/>
                <w:iCs/>
                <w:lang w:val="sr-Cyrl-RS"/>
              </w:rPr>
              <w:t>(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Navedeni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ukupan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broj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bodova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raspoređuje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se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na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sledeći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način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: 15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bodova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za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svaki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usvojeni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srednjoročni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plan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i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do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15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bodova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za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dodatne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informacije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relevantne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za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proces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izrade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srednjoročnog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325EA7">
              <w:rPr>
                <w:rFonts w:ascii="Tahoma" w:hAnsi="Tahoma" w:cs="Tahoma"/>
                <w:i/>
                <w:iCs/>
                <w:lang w:val="sr-Cyrl-RS"/>
              </w:rPr>
              <w:t>plana</w:t>
            </w:r>
            <w:proofErr w:type="spellEnd"/>
            <w:r w:rsidRPr="00325EA7">
              <w:rPr>
                <w:rFonts w:ascii="Tahoma" w:hAnsi="Tahoma" w:cs="Tahoma"/>
                <w:i/>
                <w:iCs/>
                <w:lang w:val="sr-Cyrl-RS"/>
              </w:rPr>
              <w:t>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5B30FA20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60</w:t>
            </w:r>
          </w:p>
          <w:p w14:paraId="7F519FEA" w14:textId="5737B3AA" w:rsidR="00C93E9A" w:rsidRPr="00A45CA0" w:rsidRDefault="00C93E9A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DF4C" w14:textId="7C4D94A5" w:rsidR="0030102B" w:rsidRPr="00A45CA0" w:rsidRDefault="0030102B" w:rsidP="00243AB0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А3</w:t>
            </w:r>
          </w:p>
        </w:tc>
      </w:tr>
      <w:tr w:rsidR="0030102B" w:rsidRPr="00A45CA0" w14:paraId="6CAE529C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1F19210A" w14:textId="7756421C" w:rsidR="0030102B" w:rsidRPr="00082F02" w:rsidRDefault="00082F02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i/>
                <w:iCs/>
                <w:lang w:val="en-GB"/>
              </w:rPr>
              <w:t xml:space="preserve"> </w:t>
            </w:r>
            <w:proofErr w:type="spellStart"/>
            <w:r w:rsidR="00CD1436" w:rsidRPr="00CD1436">
              <w:rPr>
                <w:rFonts w:ascii="Tahoma" w:hAnsi="Tahoma" w:cs="Tahoma"/>
                <w:lang w:val="en-GB"/>
              </w:rPr>
              <w:t>Izazovi</w:t>
            </w:r>
            <w:proofErr w:type="spellEnd"/>
            <w:r w:rsidR="00CD1436" w:rsidRPr="00CD1436">
              <w:rPr>
                <w:rFonts w:ascii="Tahoma" w:hAnsi="Tahoma" w:cs="Tahoma"/>
                <w:lang w:val="en-GB"/>
              </w:rPr>
              <w:t xml:space="preserve"> u </w:t>
            </w:r>
            <w:proofErr w:type="spellStart"/>
            <w:r w:rsidR="00CD1436" w:rsidRPr="00CD1436">
              <w:rPr>
                <w:rFonts w:ascii="Tahoma" w:hAnsi="Tahoma" w:cs="Tahoma"/>
                <w:lang w:val="en-GB"/>
              </w:rPr>
              <w:t>sprovođenju</w:t>
            </w:r>
            <w:proofErr w:type="spellEnd"/>
            <w:r w:rsidR="00CD1436" w:rsidRPr="00CD1436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="00CD1436" w:rsidRPr="00CD1436">
              <w:rPr>
                <w:rFonts w:ascii="Tahoma" w:hAnsi="Tahoma" w:cs="Tahoma"/>
                <w:lang w:val="en-GB"/>
              </w:rPr>
              <w:t>planskih</w:t>
            </w:r>
            <w:proofErr w:type="spellEnd"/>
            <w:r w:rsidR="00CD1436" w:rsidRPr="00CD1436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="00CD1436" w:rsidRPr="00CD1436">
              <w:rPr>
                <w:rFonts w:ascii="Tahoma" w:hAnsi="Tahoma" w:cs="Tahoma"/>
                <w:lang w:val="en-GB"/>
              </w:rPr>
              <w:t>dokumenata</w:t>
            </w:r>
            <w:proofErr w:type="spellEnd"/>
            <w:r w:rsidR="00CD1436" w:rsidRPr="00CD1436">
              <w:rPr>
                <w:rFonts w:ascii="Tahoma" w:hAnsi="Tahoma" w:cs="Tahoma"/>
                <w:lang w:val="en-GB"/>
              </w:rPr>
              <w:t xml:space="preserve"> u LS – </w:t>
            </w:r>
            <w:proofErr w:type="spellStart"/>
            <w:r w:rsidR="00CD1436" w:rsidRPr="00CD1436">
              <w:rPr>
                <w:rFonts w:ascii="Tahoma" w:hAnsi="Tahoma" w:cs="Tahoma"/>
                <w:i/>
                <w:iCs/>
                <w:lang w:val="en-GB"/>
              </w:rPr>
              <w:t>kvalitet</w:t>
            </w:r>
            <w:proofErr w:type="spellEnd"/>
            <w:r w:rsidR="00CD1436" w:rsidRPr="00CD1436">
              <w:rPr>
                <w:rFonts w:ascii="Tahoma" w:hAnsi="Tahoma" w:cs="Tahoma"/>
                <w:i/>
                <w:iCs/>
                <w:lang w:val="en-GB"/>
              </w:rPr>
              <w:t xml:space="preserve"> </w:t>
            </w:r>
            <w:proofErr w:type="spellStart"/>
            <w:r w:rsidR="00CD1436" w:rsidRPr="00CD1436">
              <w:rPr>
                <w:rFonts w:ascii="Tahoma" w:hAnsi="Tahoma" w:cs="Tahoma"/>
                <w:i/>
                <w:iCs/>
                <w:lang w:val="en-GB"/>
              </w:rPr>
              <w:t>navedenih</w:t>
            </w:r>
            <w:proofErr w:type="spellEnd"/>
            <w:r w:rsidR="00CD1436" w:rsidRPr="00CD1436">
              <w:rPr>
                <w:rFonts w:ascii="Tahoma" w:hAnsi="Tahoma" w:cs="Tahoma"/>
                <w:i/>
                <w:iCs/>
                <w:lang w:val="en-GB"/>
              </w:rPr>
              <w:t xml:space="preserve"> </w:t>
            </w:r>
            <w:proofErr w:type="spellStart"/>
            <w:r w:rsidR="00CD1436" w:rsidRPr="00CD1436">
              <w:rPr>
                <w:rFonts w:ascii="Tahoma" w:hAnsi="Tahoma" w:cs="Tahoma"/>
                <w:i/>
                <w:iCs/>
                <w:lang w:val="en-GB"/>
              </w:rPr>
              <w:t>informacija</w:t>
            </w:r>
            <w:proofErr w:type="spellEnd"/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22153881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5655C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А4</w:t>
            </w:r>
          </w:p>
        </w:tc>
      </w:tr>
      <w:tr w:rsidR="0030102B" w:rsidRPr="00A45CA0" w14:paraId="5E9E6C26" w14:textId="77777777" w:rsidTr="002C1F28">
        <w:tc>
          <w:tcPr>
            <w:tcW w:w="55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422DB" w14:textId="3965DEFD" w:rsidR="0030102B" w:rsidRPr="00A45CA0" w:rsidRDefault="001552A3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 w:rsidRPr="001552A3">
              <w:rPr>
                <w:rFonts w:ascii="Tahoma" w:hAnsi="Tahoma" w:cs="Tahoma"/>
                <w:b/>
                <w:bCs/>
                <w:lang w:val="sr-Cyrl-RS"/>
              </w:rPr>
              <w:t>PARTICIPATIVNOST I TRANSPARENTNOST U LS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12E3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35485" w14:textId="1D659670" w:rsidR="0030102B" w:rsidRPr="003214D3" w:rsidRDefault="003214D3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lang w:val="sr-Latn-RS"/>
              </w:rPr>
            </w:pPr>
            <w:r>
              <w:rPr>
                <w:rFonts w:ascii="Tahoma" w:hAnsi="Tahoma" w:cs="Tahoma"/>
                <w:b/>
                <w:bCs/>
                <w:lang w:val="sr-Latn-RS"/>
              </w:rPr>
              <w:t>B</w:t>
            </w:r>
          </w:p>
        </w:tc>
      </w:tr>
      <w:tr w:rsidR="0030102B" w:rsidRPr="00A45CA0" w14:paraId="7E1A2E0F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7EA7D521" w14:textId="0C9578C3" w:rsidR="0030102B" w:rsidRPr="00A45CA0" w:rsidRDefault="009C6B96" w:rsidP="009C6B9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lang w:val="sr-Cyrl-RS"/>
              </w:rPr>
            </w:pPr>
            <w:proofErr w:type="spellStart"/>
            <w:r w:rsidRPr="009C6B96">
              <w:rPr>
                <w:rFonts w:ascii="Tahoma" w:hAnsi="Tahoma" w:cs="Tahoma"/>
                <w:lang w:val="sr-Cyrl-RS"/>
              </w:rPr>
              <w:t>Konsultacije</w:t>
            </w:r>
            <w:proofErr w:type="spellEnd"/>
            <w:r w:rsidRPr="009C6B96">
              <w:rPr>
                <w:rFonts w:ascii="Tahoma" w:hAnsi="Tahoma" w:cs="Tahoma"/>
                <w:lang w:val="sr-Cyrl-RS"/>
              </w:rPr>
              <w:t>/</w:t>
            </w:r>
            <w:proofErr w:type="spellStart"/>
            <w:r w:rsidRPr="009C6B96">
              <w:rPr>
                <w:rFonts w:ascii="Tahoma" w:hAnsi="Tahoma" w:cs="Tahoma"/>
                <w:lang w:val="sr-Cyrl-RS"/>
              </w:rPr>
              <w:t>uključivanje</w:t>
            </w:r>
            <w:proofErr w:type="spellEnd"/>
            <w:r w:rsidRPr="009C6B96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9C6B96">
              <w:rPr>
                <w:rFonts w:ascii="Tahoma" w:hAnsi="Tahoma" w:cs="Tahoma"/>
                <w:lang w:val="sr-Cyrl-RS"/>
              </w:rPr>
              <w:t>javnosti</w:t>
            </w:r>
            <w:proofErr w:type="spellEnd"/>
            <w:r w:rsidRPr="009C6B96">
              <w:rPr>
                <w:rFonts w:ascii="Tahoma" w:hAnsi="Tahoma" w:cs="Tahoma"/>
                <w:lang w:val="sr-Cyrl-RS"/>
              </w:rPr>
              <w:t xml:space="preserve"> u </w:t>
            </w:r>
            <w:proofErr w:type="spellStart"/>
            <w:r w:rsidRPr="009C6B96">
              <w:rPr>
                <w:rFonts w:ascii="Tahoma" w:hAnsi="Tahoma" w:cs="Tahoma"/>
                <w:lang w:val="sr-Cyrl-RS"/>
              </w:rPr>
              <w:t>proces</w:t>
            </w:r>
            <w:proofErr w:type="spellEnd"/>
            <w:r w:rsidRPr="009C6B96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9C6B96">
              <w:rPr>
                <w:rFonts w:ascii="Tahoma" w:hAnsi="Tahoma" w:cs="Tahoma"/>
                <w:lang w:val="sr-Cyrl-RS"/>
              </w:rPr>
              <w:t>izrade</w:t>
            </w:r>
            <w:proofErr w:type="spellEnd"/>
            <w:r w:rsidRPr="009C6B96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9C6B96">
              <w:rPr>
                <w:rFonts w:ascii="Tahoma" w:hAnsi="Tahoma" w:cs="Tahoma"/>
                <w:lang w:val="sr-Cyrl-RS"/>
              </w:rPr>
              <w:t>planskih</w:t>
            </w:r>
            <w:proofErr w:type="spellEnd"/>
            <w:r w:rsidRPr="009C6B96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9C6B96">
              <w:rPr>
                <w:rFonts w:ascii="Tahoma" w:hAnsi="Tahoma" w:cs="Tahoma"/>
                <w:lang w:val="sr-Cyrl-RS"/>
              </w:rPr>
              <w:t>dokumenata</w:t>
            </w:r>
            <w:proofErr w:type="spellEnd"/>
            <w:r w:rsidRPr="009C6B96">
              <w:rPr>
                <w:rFonts w:ascii="Tahoma" w:hAnsi="Tahoma" w:cs="Tahoma"/>
                <w:lang w:val="sr-Cyrl-RS"/>
              </w:rPr>
              <w:t xml:space="preserve"> i/</w:t>
            </w:r>
            <w:proofErr w:type="spellStart"/>
            <w:r w:rsidRPr="009C6B96">
              <w:rPr>
                <w:rFonts w:ascii="Tahoma" w:hAnsi="Tahoma" w:cs="Tahoma"/>
                <w:lang w:val="sr-Cyrl-RS"/>
              </w:rPr>
              <w:t>ili</w:t>
            </w:r>
            <w:proofErr w:type="spellEnd"/>
            <w:r w:rsidRPr="009C6B96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9C6B96">
              <w:rPr>
                <w:rFonts w:ascii="Tahoma" w:hAnsi="Tahoma" w:cs="Tahoma"/>
                <w:lang w:val="sr-Cyrl-RS"/>
              </w:rPr>
              <w:t>propisa</w:t>
            </w:r>
            <w:proofErr w:type="spellEnd"/>
            <w:r w:rsidRPr="009C6B96">
              <w:rPr>
                <w:rFonts w:ascii="Tahoma" w:hAnsi="Tahoma" w:cs="Tahoma"/>
                <w:lang w:val="sr-Cyrl-RS"/>
              </w:rPr>
              <w:t xml:space="preserve"> u LS</w:t>
            </w:r>
            <w:r w:rsidRPr="009C6B96">
              <w:rPr>
                <w:rFonts w:ascii="Tahoma" w:hAnsi="Tahoma" w:cs="Tahoma"/>
                <w:i/>
                <w:iCs/>
                <w:lang w:val="sr-Cyrl-RS"/>
              </w:rPr>
              <w:t xml:space="preserve"> - </w:t>
            </w:r>
            <w:proofErr w:type="spellStart"/>
            <w:r w:rsidRPr="009C6B96">
              <w:rPr>
                <w:rFonts w:ascii="Tahoma" w:hAnsi="Tahoma" w:cs="Tahoma"/>
                <w:i/>
                <w:iCs/>
                <w:lang w:val="sr-Cyrl-RS"/>
              </w:rPr>
              <w:t>kompletnost</w:t>
            </w:r>
            <w:proofErr w:type="spellEnd"/>
            <w:r w:rsidRPr="009C6B96">
              <w:rPr>
                <w:rFonts w:ascii="Tahoma" w:hAnsi="Tahoma" w:cs="Tahoma"/>
                <w:i/>
                <w:iCs/>
                <w:lang w:val="sr-Cyrl-RS"/>
              </w:rPr>
              <w:t xml:space="preserve"> i </w:t>
            </w:r>
            <w:proofErr w:type="spellStart"/>
            <w:r w:rsidRPr="009C6B96">
              <w:rPr>
                <w:rFonts w:ascii="Tahoma" w:hAnsi="Tahoma" w:cs="Tahoma"/>
                <w:i/>
                <w:iCs/>
                <w:lang w:val="sr-Cyrl-RS"/>
              </w:rPr>
              <w:t>kvalitet</w:t>
            </w:r>
            <w:proofErr w:type="spellEnd"/>
            <w:r w:rsidRPr="009C6B96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9C6B96">
              <w:rPr>
                <w:rFonts w:ascii="Tahoma" w:hAnsi="Tahoma" w:cs="Tahoma"/>
                <w:i/>
                <w:iCs/>
                <w:lang w:val="sr-Cyrl-RS"/>
              </w:rPr>
              <w:t>navedenih</w:t>
            </w:r>
            <w:proofErr w:type="spellEnd"/>
            <w:r w:rsidRPr="009C6B96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9C6B96">
              <w:rPr>
                <w:rFonts w:ascii="Tahoma" w:hAnsi="Tahoma" w:cs="Tahoma"/>
                <w:i/>
                <w:iCs/>
                <w:lang w:val="sr-Cyrl-RS"/>
              </w:rPr>
              <w:t>informacija</w:t>
            </w:r>
            <w:proofErr w:type="spellEnd"/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07A83F57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92E4" w14:textId="56A8CCC9" w:rsidR="0030102B" w:rsidRPr="00A45CA0" w:rsidRDefault="003214D3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Latn-RS"/>
              </w:rPr>
              <w:t>B</w:t>
            </w:r>
            <w:r w:rsidR="0030102B" w:rsidRPr="00A45CA0">
              <w:rPr>
                <w:rFonts w:ascii="Tahoma" w:hAnsi="Tahoma" w:cs="Tahoma"/>
                <w:lang w:val="sr-Cyrl-RS"/>
              </w:rPr>
              <w:t>1</w:t>
            </w:r>
          </w:p>
        </w:tc>
      </w:tr>
      <w:tr w:rsidR="0030102B" w:rsidRPr="00A45CA0" w14:paraId="09E7FECF" w14:textId="77777777" w:rsidTr="002C1F28">
        <w:tc>
          <w:tcPr>
            <w:tcW w:w="55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5F19B" w14:textId="3A589825" w:rsidR="0030102B" w:rsidRPr="00A45CA0" w:rsidRDefault="00E518DC" w:rsidP="002C1F28">
            <w:pPr>
              <w:spacing w:before="60" w:after="60" w:line="276" w:lineRule="auto"/>
              <w:rPr>
                <w:rFonts w:ascii="Tahoma" w:hAnsi="Tahoma" w:cs="Tahoma"/>
                <w:b/>
                <w:bCs/>
                <w:lang w:val="sr-Cyrl-RS"/>
              </w:rPr>
            </w:pPr>
            <w:r w:rsidRPr="00E518DC">
              <w:rPr>
                <w:rFonts w:ascii="Tahoma" w:hAnsi="Tahoma" w:cs="Tahoma"/>
                <w:b/>
                <w:bCs/>
                <w:lang w:val="sr-Cyrl-RS"/>
              </w:rPr>
              <w:lastRenderedPageBreak/>
              <w:t>TEHNIČKA PODRŠKA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2A066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041C6" w14:textId="3D9160B5" w:rsidR="0030102B" w:rsidRPr="009873B8" w:rsidRDefault="009873B8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lang w:val="sr-Latn-RS"/>
              </w:rPr>
            </w:pPr>
            <w:r>
              <w:rPr>
                <w:rFonts w:ascii="Tahoma" w:hAnsi="Tahoma" w:cs="Tahoma"/>
                <w:b/>
                <w:lang w:val="sr-Latn-RS"/>
              </w:rPr>
              <w:t>V</w:t>
            </w:r>
          </w:p>
        </w:tc>
      </w:tr>
      <w:tr w:rsidR="0030102B" w:rsidRPr="00A45CA0" w14:paraId="62622369" w14:textId="77777777" w:rsidTr="002C1F28">
        <w:tc>
          <w:tcPr>
            <w:tcW w:w="5514" w:type="dxa"/>
            <w:vAlign w:val="center"/>
          </w:tcPr>
          <w:p w14:paraId="2426EF51" w14:textId="7D3AA267" w:rsidR="0030102B" w:rsidRPr="00A45CA0" w:rsidRDefault="009C004B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sr-Cyrl-RS"/>
              </w:rPr>
            </w:pPr>
            <w:proofErr w:type="spellStart"/>
            <w:r w:rsidRPr="009C004B">
              <w:rPr>
                <w:rFonts w:ascii="Tahoma" w:hAnsi="Tahoma" w:cs="Tahoma"/>
                <w:lang w:val="sr-Cyrl-RS"/>
              </w:rPr>
              <w:t>Izazovi</w:t>
            </w:r>
            <w:proofErr w:type="spellEnd"/>
            <w:r w:rsidRPr="009C004B">
              <w:rPr>
                <w:rFonts w:ascii="Tahoma" w:hAnsi="Tahoma" w:cs="Tahoma"/>
                <w:lang w:val="sr-Cyrl-RS"/>
              </w:rPr>
              <w:t xml:space="preserve"> u </w:t>
            </w:r>
            <w:proofErr w:type="spellStart"/>
            <w:r w:rsidRPr="009C004B">
              <w:rPr>
                <w:rFonts w:ascii="Tahoma" w:hAnsi="Tahoma" w:cs="Tahoma"/>
                <w:lang w:val="sr-Cyrl-RS"/>
              </w:rPr>
              <w:t>procesu</w:t>
            </w:r>
            <w:proofErr w:type="spellEnd"/>
            <w:r w:rsidRPr="009C004B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9C004B">
              <w:rPr>
                <w:rFonts w:ascii="Tahoma" w:hAnsi="Tahoma" w:cs="Tahoma"/>
                <w:lang w:val="sr-Cyrl-RS"/>
              </w:rPr>
              <w:t>praćenja</w:t>
            </w:r>
            <w:proofErr w:type="spellEnd"/>
            <w:r w:rsidRPr="009C004B">
              <w:rPr>
                <w:rFonts w:ascii="Tahoma" w:hAnsi="Tahoma" w:cs="Tahoma"/>
                <w:lang w:val="sr-Cyrl-RS"/>
              </w:rPr>
              <w:t xml:space="preserve"> i </w:t>
            </w:r>
            <w:proofErr w:type="spellStart"/>
            <w:r w:rsidRPr="009C004B">
              <w:rPr>
                <w:rFonts w:ascii="Tahoma" w:hAnsi="Tahoma" w:cs="Tahoma"/>
                <w:lang w:val="sr-Cyrl-RS"/>
              </w:rPr>
              <w:t>izveštavanja</w:t>
            </w:r>
            <w:proofErr w:type="spellEnd"/>
            <w:r w:rsidRPr="009C004B">
              <w:rPr>
                <w:rFonts w:ascii="Tahoma" w:hAnsi="Tahoma" w:cs="Tahoma"/>
                <w:lang w:val="sr-Cyrl-RS"/>
              </w:rPr>
              <w:t xml:space="preserve"> o </w:t>
            </w:r>
            <w:proofErr w:type="spellStart"/>
            <w:r w:rsidRPr="009C004B">
              <w:rPr>
                <w:rFonts w:ascii="Tahoma" w:hAnsi="Tahoma" w:cs="Tahoma"/>
                <w:lang w:val="sr-Cyrl-RS"/>
              </w:rPr>
              <w:t>sprovođenju</w:t>
            </w:r>
            <w:proofErr w:type="spellEnd"/>
            <w:r w:rsidRPr="009C004B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9C004B">
              <w:rPr>
                <w:rFonts w:ascii="Tahoma" w:hAnsi="Tahoma" w:cs="Tahoma"/>
                <w:lang w:val="sr-Cyrl-RS"/>
              </w:rPr>
              <w:t>planskih</w:t>
            </w:r>
            <w:proofErr w:type="spellEnd"/>
            <w:r w:rsidRPr="009C004B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9C004B">
              <w:rPr>
                <w:rFonts w:ascii="Tahoma" w:hAnsi="Tahoma" w:cs="Tahoma"/>
                <w:lang w:val="sr-Cyrl-RS"/>
              </w:rPr>
              <w:t>dokumenata</w:t>
            </w:r>
            <w:proofErr w:type="spellEnd"/>
            <w:r w:rsidRPr="009C004B">
              <w:rPr>
                <w:rFonts w:ascii="Tahoma" w:hAnsi="Tahoma" w:cs="Tahoma"/>
                <w:lang w:val="sr-Cyrl-RS"/>
              </w:rPr>
              <w:t xml:space="preserve"> u LS </w:t>
            </w:r>
            <w:r w:rsidRPr="009C004B">
              <w:rPr>
                <w:rFonts w:ascii="Tahoma" w:hAnsi="Tahoma" w:cs="Tahoma"/>
                <w:i/>
                <w:iCs/>
                <w:lang w:val="sr-Cyrl-RS"/>
              </w:rPr>
              <w:t xml:space="preserve">– </w:t>
            </w:r>
            <w:proofErr w:type="spellStart"/>
            <w:r w:rsidRPr="009C004B">
              <w:rPr>
                <w:rFonts w:ascii="Tahoma" w:hAnsi="Tahoma" w:cs="Tahoma"/>
                <w:i/>
                <w:iCs/>
                <w:lang w:val="sr-Cyrl-RS"/>
              </w:rPr>
              <w:t>kvalitet</w:t>
            </w:r>
            <w:proofErr w:type="spellEnd"/>
            <w:r w:rsidRPr="009C004B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9C004B">
              <w:rPr>
                <w:rFonts w:ascii="Tahoma" w:hAnsi="Tahoma" w:cs="Tahoma"/>
                <w:i/>
                <w:iCs/>
                <w:lang w:val="sr-Cyrl-RS"/>
              </w:rPr>
              <w:t>navedenih</w:t>
            </w:r>
            <w:proofErr w:type="spellEnd"/>
            <w:r w:rsidRPr="009C004B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9C004B">
              <w:rPr>
                <w:rFonts w:ascii="Tahoma" w:hAnsi="Tahoma" w:cs="Tahoma"/>
                <w:i/>
                <w:iCs/>
                <w:lang w:val="sr-Cyrl-RS"/>
              </w:rPr>
              <w:t>informacija</w:t>
            </w:r>
            <w:proofErr w:type="spellEnd"/>
          </w:p>
        </w:tc>
        <w:tc>
          <w:tcPr>
            <w:tcW w:w="1711" w:type="dxa"/>
            <w:vAlign w:val="center"/>
          </w:tcPr>
          <w:p w14:paraId="04B7BF09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8701F" w14:textId="336F84B6" w:rsidR="0030102B" w:rsidRPr="00A45CA0" w:rsidRDefault="009873B8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Latn-RS"/>
              </w:rPr>
              <w:t>V</w:t>
            </w:r>
            <w:r w:rsidR="0030102B" w:rsidRPr="00A45CA0">
              <w:rPr>
                <w:rFonts w:ascii="Tahoma" w:hAnsi="Tahoma" w:cs="Tahoma"/>
                <w:lang w:val="sr-Cyrl-RS"/>
              </w:rPr>
              <w:t>1</w:t>
            </w:r>
          </w:p>
        </w:tc>
      </w:tr>
      <w:tr w:rsidR="0030102B" w:rsidRPr="00A45CA0" w14:paraId="49ACFB5C" w14:textId="77777777" w:rsidTr="002C1F28">
        <w:tc>
          <w:tcPr>
            <w:tcW w:w="5514" w:type="dxa"/>
            <w:vAlign w:val="center"/>
          </w:tcPr>
          <w:p w14:paraId="69F55E4A" w14:textId="236E4477" w:rsidR="0030102B" w:rsidRPr="00A45CA0" w:rsidRDefault="004B1E17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sr-Cyrl-RS"/>
              </w:rPr>
            </w:pPr>
            <w:proofErr w:type="spellStart"/>
            <w:r w:rsidRPr="004B1E17">
              <w:rPr>
                <w:rFonts w:ascii="Tahoma" w:hAnsi="Tahoma" w:cs="Tahoma"/>
                <w:lang w:val="sr-Cyrl-RS"/>
              </w:rPr>
              <w:t>Dobro</w:t>
            </w:r>
            <w:proofErr w:type="spellEnd"/>
            <w:r w:rsidRPr="004B1E17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4B1E17">
              <w:rPr>
                <w:rFonts w:ascii="Tahoma" w:hAnsi="Tahoma" w:cs="Tahoma"/>
                <w:lang w:val="sr-Cyrl-RS"/>
              </w:rPr>
              <w:t>definisani</w:t>
            </w:r>
            <w:proofErr w:type="spellEnd"/>
            <w:r w:rsidRPr="004B1E17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4B1E17">
              <w:rPr>
                <w:rFonts w:ascii="Tahoma" w:hAnsi="Tahoma" w:cs="Tahoma"/>
                <w:lang w:val="sr-Cyrl-RS"/>
              </w:rPr>
              <w:t>razlozi</w:t>
            </w:r>
            <w:proofErr w:type="spellEnd"/>
            <w:r w:rsidRPr="004B1E17">
              <w:rPr>
                <w:rFonts w:ascii="Tahoma" w:hAnsi="Tahoma" w:cs="Tahoma"/>
                <w:lang w:val="sr-Cyrl-RS"/>
              </w:rPr>
              <w:t xml:space="preserve"> za </w:t>
            </w:r>
            <w:proofErr w:type="spellStart"/>
            <w:r w:rsidRPr="004B1E17">
              <w:rPr>
                <w:rFonts w:ascii="Tahoma" w:hAnsi="Tahoma" w:cs="Tahoma"/>
                <w:lang w:val="sr-Cyrl-RS"/>
              </w:rPr>
              <w:t>podršku</w:t>
            </w:r>
            <w:proofErr w:type="spellEnd"/>
            <w:r w:rsidRPr="004B1E17">
              <w:rPr>
                <w:rFonts w:ascii="Tahoma" w:hAnsi="Tahoma" w:cs="Tahoma"/>
                <w:lang w:val="sr-Cyrl-RS"/>
              </w:rPr>
              <w:t xml:space="preserve"> – </w:t>
            </w:r>
            <w:proofErr w:type="spellStart"/>
            <w:r w:rsidRPr="004B1E17">
              <w:rPr>
                <w:rFonts w:ascii="Tahoma" w:hAnsi="Tahoma" w:cs="Tahoma"/>
                <w:i/>
                <w:iCs/>
                <w:lang w:val="sr-Cyrl-RS"/>
              </w:rPr>
              <w:t>kvalitet</w:t>
            </w:r>
            <w:proofErr w:type="spellEnd"/>
            <w:r w:rsidRPr="004B1E1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4B1E17">
              <w:rPr>
                <w:rFonts w:ascii="Tahoma" w:hAnsi="Tahoma" w:cs="Tahoma"/>
                <w:i/>
                <w:iCs/>
                <w:lang w:val="sr-Cyrl-RS"/>
              </w:rPr>
              <w:t>navedenih</w:t>
            </w:r>
            <w:proofErr w:type="spellEnd"/>
            <w:r w:rsidRPr="004B1E17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Pr="004B1E17">
              <w:rPr>
                <w:rFonts w:ascii="Tahoma" w:hAnsi="Tahoma" w:cs="Tahoma"/>
                <w:i/>
                <w:iCs/>
                <w:lang w:val="sr-Cyrl-RS"/>
              </w:rPr>
              <w:t>informacija</w:t>
            </w:r>
            <w:proofErr w:type="spellEnd"/>
          </w:p>
        </w:tc>
        <w:tc>
          <w:tcPr>
            <w:tcW w:w="1711" w:type="dxa"/>
            <w:vAlign w:val="center"/>
          </w:tcPr>
          <w:p w14:paraId="052F3359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19779" w14:textId="1CB579F8" w:rsidR="0030102B" w:rsidRPr="00A45CA0" w:rsidRDefault="009873B8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Latn-RS"/>
              </w:rPr>
              <w:t>V</w:t>
            </w:r>
            <w:r w:rsidR="0030102B" w:rsidRPr="00A45CA0">
              <w:rPr>
                <w:rFonts w:ascii="Tahoma" w:hAnsi="Tahoma" w:cs="Tahoma"/>
                <w:lang w:val="sr-Cyrl-RS"/>
              </w:rPr>
              <w:t>2</w:t>
            </w:r>
          </w:p>
        </w:tc>
      </w:tr>
      <w:tr w:rsidR="0030102B" w:rsidRPr="00A45CA0" w14:paraId="56429B84" w14:textId="77777777" w:rsidTr="002C1F28">
        <w:tc>
          <w:tcPr>
            <w:tcW w:w="5514" w:type="dxa"/>
            <w:shd w:val="clear" w:color="auto" w:fill="D9D9D9" w:themeFill="background1" w:themeFillShade="D9"/>
            <w:vAlign w:val="center"/>
          </w:tcPr>
          <w:p w14:paraId="0C33E2C0" w14:textId="3D2DD9F2" w:rsidR="0030102B" w:rsidRPr="00A45CA0" w:rsidRDefault="00CC6DAE" w:rsidP="002C1F28">
            <w:pPr>
              <w:spacing w:before="60" w:after="60" w:line="276" w:lineRule="auto"/>
              <w:rPr>
                <w:rFonts w:ascii="Tahoma" w:hAnsi="Tahoma" w:cs="Tahoma"/>
                <w:b/>
                <w:bCs/>
                <w:lang w:val="sr-Cyrl-RS"/>
              </w:rPr>
            </w:pPr>
            <w:r w:rsidRPr="00CC6DAE">
              <w:rPr>
                <w:rFonts w:ascii="Tahoma" w:hAnsi="Tahoma" w:cs="Tahoma"/>
                <w:b/>
                <w:bCs/>
                <w:lang w:val="sr-Cyrl-RS"/>
              </w:rPr>
              <w:t>SPREMNOST LS ZA PRIHVATAN</w:t>
            </w:r>
            <w:r>
              <w:rPr>
                <w:rFonts w:ascii="Tahoma" w:hAnsi="Tahoma" w:cs="Tahoma"/>
                <w:b/>
                <w:bCs/>
                <w:lang w:val="en-GB"/>
              </w:rPr>
              <w:t>J</w:t>
            </w:r>
            <w:r w:rsidRPr="00CC6DAE">
              <w:rPr>
                <w:rFonts w:ascii="Tahoma" w:hAnsi="Tahoma" w:cs="Tahoma"/>
                <w:b/>
                <w:bCs/>
                <w:lang w:val="sr-Cyrl-RS"/>
              </w:rPr>
              <w:t>E PODRŠKE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3D8E898F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10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401A6D" w14:textId="5B5FFAF0" w:rsidR="0030102B" w:rsidRPr="00BC0925" w:rsidRDefault="00BC0925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lang w:val="sr-Latn-RS"/>
              </w:rPr>
            </w:pPr>
            <w:r>
              <w:rPr>
                <w:rFonts w:ascii="Tahoma" w:hAnsi="Tahoma" w:cs="Tahoma"/>
                <w:b/>
                <w:lang w:val="sr-Latn-RS"/>
              </w:rPr>
              <w:t>G</w:t>
            </w:r>
          </w:p>
        </w:tc>
      </w:tr>
      <w:tr w:rsidR="0030102B" w:rsidRPr="00A45CA0" w14:paraId="360BB4FC" w14:textId="77777777" w:rsidTr="002C1F28">
        <w:tc>
          <w:tcPr>
            <w:tcW w:w="5514" w:type="dxa"/>
            <w:vAlign w:val="center"/>
          </w:tcPr>
          <w:p w14:paraId="54550193" w14:textId="37478D0C" w:rsidR="0030102B" w:rsidRPr="00A45CA0" w:rsidRDefault="00267F90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lang w:val="sr-Cyrl-RS"/>
              </w:rPr>
            </w:pPr>
            <w:proofErr w:type="spellStart"/>
            <w:r w:rsidRPr="00267F90">
              <w:rPr>
                <w:rFonts w:ascii="Tahoma" w:hAnsi="Tahoma" w:cs="Tahoma"/>
                <w:color w:val="000000"/>
                <w:lang w:val="sr-Cyrl-RS"/>
              </w:rPr>
              <w:t>Spremnost</w:t>
            </w:r>
            <w:proofErr w:type="spellEnd"/>
            <w:r w:rsidRPr="00267F90">
              <w:rPr>
                <w:rFonts w:ascii="Tahoma" w:hAnsi="Tahoma" w:cs="Tahoma"/>
                <w:color w:val="000000"/>
                <w:lang w:val="sr-Cyrl-RS"/>
              </w:rPr>
              <w:t xml:space="preserve"> za </w:t>
            </w:r>
            <w:proofErr w:type="spellStart"/>
            <w:r w:rsidRPr="00267F90">
              <w:rPr>
                <w:rFonts w:ascii="Tahoma" w:hAnsi="Tahoma" w:cs="Tahoma"/>
                <w:color w:val="000000"/>
                <w:lang w:val="sr-Cyrl-RS"/>
              </w:rPr>
              <w:t>uključivanje</w:t>
            </w:r>
            <w:proofErr w:type="spellEnd"/>
            <w:r w:rsidRPr="00267F90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267F90">
              <w:rPr>
                <w:rFonts w:ascii="Tahoma" w:hAnsi="Tahoma" w:cs="Tahoma"/>
                <w:color w:val="000000"/>
                <w:lang w:val="sr-Cyrl-RS"/>
              </w:rPr>
              <w:t>različitih</w:t>
            </w:r>
            <w:proofErr w:type="spellEnd"/>
            <w:r w:rsidRPr="00267F90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267F90">
              <w:rPr>
                <w:rFonts w:ascii="Tahoma" w:hAnsi="Tahoma" w:cs="Tahoma"/>
                <w:color w:val="000000"/>
                <w:lang w:val="sr-Cyrl-RS"/>
              </w:rPr>
              <w:t>delova</w:t>
            </w:r>
            <w:proofErr w:type="spellEnd"/>
            <w:r w:rsidRPr="00267F90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267F90">
              <w:rPr>
                <w:rFonts w:ascii="Tahoma" w:hAnsi="Tahoma" w:cs="Tahoma"/>
                <w:color w:val="000000"/>
                <w:lang w:val="sr-Cyrl-RS"/>
              </w:rPr>
              <w:t>lokalne</w:t>
            </w:r>
            <w:proofErr w:type="spellEnd"/>
            <w:r w:rsidRPr="00267F90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267F90">
              <w:rPr>
                <w:rFonts w:ascii="Tahoma" w:hAnsi="Tahoma" w:cs="Tahoma"/>
                <w:color w:val="000000"/>
                <w:lang w:val="sr-Cyrl-RS"/>
              </w:rPr>
              <w:t>administracije</w:t>
            </w:r>
            <w:proofErr w:type="spellEnd"/>
            <w:r w:rsidRPr="00267F90">
              <w:rPr>
                <w:rFonts w:ascii="Tahoma" w:hAnsi="Tahoma" w:cs="Tahoma"/>
                <w:color w:val="000000"/>
                <w:lang w:val="sr-Cyrl-RS"/>
              </w:rPr>
              <w:t xml:space="preserve"> u </w:t>
            </w:r>
            <w:proofErr w:type="spellStart"/>
            <w:r w:rsidRPr="00267F90">
              <w:rPr>
                <w:rFonts w:ascii="Tahoma" w:hAnsi="Tahoma" w:cs="Tahoma"/>
                <w:color w:val="000000"/>
                <w:lang w:val="sr-Cyrl-RS"/>
              </w:rPr>
              <w:t>realizaciju</w:t>
            </w:r>
            <w:proofErr w:type="spellEnd"/>
            <w:r w:rsidRPr="00267F90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267F90">
              <w:rPr>
                <w:rFonts w:ascii="Tahoma" w:hAnsi="Tahoma" w:cs="Tahoma"/>
                <w:color w:val="000000"/>
                <w:lang w:val="sr-Cyrl-RS"/>
              </w:rPr>
              <w:t>podrške</w:t>
            </w:r>
            <w:proofErr w:type="spellEnd"/>
          </w:p>
        </w:tc>
        <w:tc>
          <w:tcPr>
            <w:tcW w:w="1711" w:type="dxa"/>
            <w:vAlign w:val="center"/>
          </w:tcPr>
          <w:p w14:paraId="5C2A5073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5D22C4" w14:textId="5BFF06BB" w:rsidR="0030102B" w:rsidRPr="00A45CA0" w:rsidRDefault="00BC0925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Latn-RS"/>
              </w:rPr>
              <w:t>G</w:t>
            </w:r>
            <w:r w:rsidR="0030102B" w:rsidRPr="00A45CA0">
              <w:rPr>
                <w:rFonts w:ascii="Tahoma" w:hAnsi="Tahoma" w:cs="Tahoma"/>
                <w:lang w:val="sr-Cyrl-RS"/>
              </w:rPr>
              <w:t>1а</w:t>
            </w:r>
          </w:p>
        </w:tc>
      </w:tr>
      <w:tr w:rsidR="0030102B" w:rsidRPr="00A45CA0" w14:paraId="1173A194" w14:textId="77777777" w:rsidTr="002C1F28">
        <w:tc>
          <w:tcPr>
            <w:tcW w:w="5514" w:type="dxa"/>
            <w:vAlign w:val="center"/>
          </w:tcPr>
          <w:p w14:paraId="7A2B0415" w14:textId="19D493A5" w:rsidR="0030102B" w:rsidRPr="00A45CA0" w:rsidRDefault="009545DB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lang w:val="sr-Cyrl-RS"/>
              </w:rPr>
            </w:pP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Spremnost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za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uključivanje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zainteresovanih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stranu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u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proces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izrade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izveštaja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o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učincima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sprovođenja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plana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razvoja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LS</w:t>
            </w:r>
          </w:p>
        </w:tc>
        <w:tc>
          <w:tcPr>
            <w:tcW w:w="1711" w:type="dxa"/>
            <w:vAlign w:val="center"/>
          </w:tcPr>
          <w:p w14:paraId="5F487FFB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629ED1" w14:textId="75728C69" w:rsidR="0030102B" w:rsidRPr="00BC0925" w:rsidRDefault="00BC0925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G</w:t>
            </w:r>
            <w:r w:rsidR="0030102B" w:rsidRPr="00A45CA0">
              <w:rPr>
                <w:rFonts w:ascii="Tahoma" w:hAnsi="Tahoma" w:cs="Tahoma"/>
                <w:lang w:val="sr-Cyrl-RS"/>
              </w:rPr>
              <w:t>1</w:t>
            </w:r>
            <w:r>
              <w:rPr>
                <w:rFonts w:ascii="Tahoma" w:hAnsi="Tahoma" w:cs="Tahoma"/>
                <w:lang w:val="sr-Latn-RS"/>
              </w:rPr>
              <w:t>b</w:t>
            </w:r>
          </w:p>
        </w:tc>
      </w:tr>
      <w:tr w:rsidR="0030102B" w:rsidRPr="00A45CA0" w14:paraId="56FE4EFA" w14:textId="77777777" w:rsidTr="002C1F28">
        <w:tc>
          <w:tcPr>
            <w:tcW w:w="5514" w:type="dxa"/>
            <w:vAlign w:val="center"/>
          </w:tcPr>
          <w:p w14:paraId="1C0A62BD" w14:textId="1AD012FB" w:rsidR="0030102B" w:rsidRPr="00A45CA0" w:rsidRDefault="009545DB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lang w:val="sr-Cyrl-RS"/>
              </w:rPr>
            </w:pP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Postojanje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tehničkih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uslova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za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efektivno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korišćenje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stručne</w:t>
            </w:r>
            <w:proofErr w:type="spellEnd"/>
            <w:r w:rsidRPr="009545DB">
              <w:rPr>
                <w:rFonts w:ascii="Tahoma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9545DB">
              <w:rPr>
                <w:rFonts w:ascii="Tahoma" w:hAnsi="Tahoma" w:cs="Tahoma"/>
                <w:color w:val="000000"/>
                <w:lang w:val="sr-Cyrl-RS"/>
              </w:rPr>
              <w:t>podrške</w:t>
            </w:r>
            <w:proofErr w:type="spellEnd"/>
          </w:p>
        </w:tc>
        <w:tc>
          <w:tcPr>
            <w:tcW w:w="1711" w:type="dxa"/>
            <w:vAlign w:val="center"/>
          </w:tcPr>
          <w:p w14:paraId="557ABA6F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4F22FE" w14:textId="75A175EF" w:rsidR="0030102B" w:rsidRPr="00BC0925" w:rsidRDefault="00BC0925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G</w:t>
            </w:r>
            <w:r w:rsidR="0030102B" w:rsidRPr="00A45CA0">
              <w:rPr>
                <w:rFonts w:ascii="Tahoma" w:hAnsi="Tahoma" w:cs="Tahoma"/>
                <w:lang w:val="sr-Cyrl-RS"/>
              </w:rPr>
              <w:t>1</w:t>
            </w:r>
            <w:r>
              <w:rPr>
                <w:rFonts w:ascii="Tahoma" w:hAnsi="Tahoma" w:cs="Tahoma"/>
                <w:lang w:val="sr-Latn-RS"/>
              </w:rPr>
              <w:t>v</w:t>
            </w:r>
          </w:p>
        </w:tc>
      </w:tr>
      <w:tr w:rsidR="0030102B" w:rsidRPr="00A45CA0" w14:paraId="0C7BA5B9" w14:textId="77777777" w:rsidTr="002C1F28"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  <w:vAlign w:val="center"/>
          </w:tcPr>
          <w:p w14:paraId="7528AB74" w14:textId="5A11050A" w:rsidR="0030102B" w:rsidRPr="00A45CA0" w:rsidRDefault="00C33DF7" w:rsidP="002C1F28">
            <w:pPr>
              <w:spacing w:after="0" w:line="276" w:lineRule="auto"/>
              <w:rPr>
                <w:rFonts w:ascii="Tahoma" w:hAnsi="Tahoma" w:cs="Tahoma"/>
                <w:b/>
                <w:lang w:val="sr-Cyrl-RS"/>
              </w:rPr>
            </w:pPr>
            <w:proofErr w:type="spellStart"/>
            <w:r w:rsidRPr="00C33DF7">
              <w:rPr>
                <w:rFonts w:ascii="Tahoma" w:hAnsi="Tahoma" w:cs="Tahoma"/>
                <w:b/>
                <w:lang w:val="sr-Cyrl-RS"/>
              </w:rPr>
              <w:t>Ukupan</w:t>
            </w:r>
            <w:proofErr w:type="spellEnd"/>
            <w:r w:rsidRPr="00C33DF7">
              <w:rPr>
                <w:rFonts w:ascii="Tahoma" w:hAnsi="Tahoma" w:cs="Tahoma"/>
                <w:b/>
                <w:lang w:val="sr-Cyrl-RS"/>
              </w:rPr>
              <w:t xml:space="preserve"> </w:t>
            </w:r>
            <w:proofErr w:type="spellStart"/>
            <w:r w:rsidRPr="00C33DF7">
              <w:rPr>
                <w:rFonts w:ascii="Tahoma" w:hAnsi="Tahoma" w:cs="Tahoma"/>
                <w:b/>
                <w:lang w:val="sr-Cyrl-RS"/>
              </w:rPr>
              <w:t>maksimalan</w:t>
            </w:r>
            <w:proofErr w:type="spellEnd"/>
            <w:r w:rsidRPr="00C33DF7">
              <w:rPr>
                <w:rFonts w:ascii="Tahoma" w:hAnsi="Tahoma" w:cs="Tahoma"/>
                <w:b/>
                <w:lang w:val="sr-Cyrl-RS"/>
              </w:rPr>
              <w:t xml:space="preserve"> </w:t>
            </w:r>
            <w:proofErr w:type="spellStart"/>
            <w:r w:rsidRPr="00C33DF7">
              <w:rPr>
                <w:rFonts w:ascii="Tahoma" w:hAnsi="Tahoma" w:cs="Tahoma"/>
                <w:b/>
                <w:lang w:val="sr-Cyrl-RS"/>
              </w:rPr>
              <w:t>broj</w:t>
            </w:r>
            <w:proofErr w:type="spellEnd"/>
            <w:r w:rsidRPr="00C33DF7">
              <w:rPr>
                <w:rFonts w:ascii="Tahoma" w:hAnsi="Tahoma" w:cs="Tahoma"/>
                <w:b/>
                <w:lang w:val="sr-Cyrl-RS"/>
              </w:rPr>
              <w:t xml:space="preserve"> </w:t>
            </w:r>
            <w:proofErr w:type="spellStart"/>
            <w:r w:rsidRPr="00C33DF7">
              <w:rPr>
                <w:rFonts w:ascii="Tahoma" w:hAnsi="Tahoma" w:cs="Tahoma"/>
                <w:b/>
                <w:lang w:val="sr-Cyrl-RS"/>
              </w:rPr>
              <w:t>bodova</w:t>
            </w:r>
            <w:proofErr w:type="spellEnd"/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4466ACA" w14:textId="77777777" w:rsidR="0030102B" w:rsidRPr="00A45CA0" w:rsidRDefault="0030102B" w:rsidP="002C1F28">
            <w:pPr>
              <w:spacing w:after="0" w:line="276" w:lineRule="auto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 xml:space="preserve">         200</w:t>
            </w:r>
          </w:p>
        </w:tc>
      </w:tr>
    </w:tbl>
    <w:p w14:paraId="7E91519E" w14:textId="77777777" w:rsidR="0030102B" w:rsidRPr="00A45CA0" w:rsidRDefault="0030102B" w:rsidP="0030102B">
      <w:pPr>
        <w:jc w:val="both"/>
        <w:rPr>
          <w:rFonts w:ascii="Tahoma" w:eastAsia="Times New Roman" w:hAnsi="Tahoma" w:cs="Tahoma"/>
          <w:snapToGrid w:val="0"/>
          <w:lang w:val="sr-Cyrl-RS"/>
        </w:rPr>
      </w:pPr>
    </w:p>
    <w:tbl>
      <w:tblPr>
        <w:tblW w:w="906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067"/>
      </w:tblGrid>
      <w:tr w:rsidR="0030102B" w:rsidRPr="00850D57" w14:paraId="7E69B5F3" w14:textId="77777777" w:rsidTr="002C1F28"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F50912" w14:textId="5AE98D62" w:rsidR="00A8258D" w:rsidRPr="00A45CA0" w:rsidRDefault="0034088C" w:rsidP="002C1F28">
            <w:pPr>
              <w:spacing w:after="0" w:line="276" w:lineRule="auto"/>
              <w:jc w:val="both"/>
              <w:rPr>
                <w:rFonts w:ascii="Tahoma" w:hAnsi="Tahoma" w:cs="Tahoma"/>
                <w:bCs/>
                <w:lang w:val="sr-Cyrl-RS"/>
              </w:rPr>
            </w:pPr>
            <w:proofErr w:type="spellStart"/>
            <w:r w:rsidRPr="0034088C">
              <w:rPr>
                <w:rFonts w:ascii="Tahoma" w:hAnsi="Tahoma" w:cs="Tahoma"/>
                <w:b/>
                <w:lang w:val="sr-Cyrl-RS"/>
              </w:rPr>
              <w:t>Dopunski</w:t>
            </w:r>
            <w:proofErr w:type="spellEnd"/>
            <w:r w:rsidRPr="0034088C">
              <w:rPr>
                <w:rFonts w:ascii="Tahoma" w:hAnsi="Tahoma" w:cs="Tahoma"/>
                <w:b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/>
                <w:lang w:val="sr-Cyrl-RS"/>
              </w:rPr>
              <w:t>kriterijumi</w:t>
            </w:r>
            <w:proofErr w:type="spellEnd"/>
            <w:r w:rsidRPr="0034088C">
              <w:rPr>
                <w:rFonts w:ascii="Tahoma" w:hAnsi="Tahoma" w:cs="Tahoma"/>
                <w:b/>
                <w:lang w:val="sr-Cyrl-RS"/>
              </w:rPr>
              <w:t xml:space="preserve"> za </w:t>
            </w:r>
            <w:proofErr w:type="spellStart"/>
            <w:r w:rsidRPr="0034088C">
              <w:rPr>
                <w:rFonts w:ascii="Tahoma" w:hAnsi="Tahoma" w:cs="Tahoma"/>
                <w:b/>
                <w:lang w:val="sr-Cyrl-RS"/>
              </w:rPr>
              <w:t>ocenjivanje</w:t>
            </w:r>
            <w:proofErr w:type="spellEnd"/>
            <w:r w:rsidRPr="0034088C">
              <w:rPr>
                <w:rFonts w:ascii="Tahoma" w:hAnsi="Tahoma" w:cs="Tahoma"/>
                <w:b/>
                <w:lang w:val="sr-Cyrl-RS"/>
              </w:rPr>
              <w:t>:</w:t>
            </w:r>
            <w:r w:rsidRPr="0034088C">
              <w:rPr>
                <w:rFonts w:ascii="Tahoma" w:hAnsi="Tahoma" w:cs="Tahoma"/>
                <w:bCs/>
                <w:lang w:val="sr-Cyrl-RS"/>
              </w:rPr>
              <w:t xml:space="preserve"> u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specifičnoj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situaciji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,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ukoliko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nakon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ocenjivanja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po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navedenim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kriterijumima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Komisija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konstatuje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da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dve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(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ili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više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) LS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imaju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isti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broj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bodova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,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prednost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će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biti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data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LS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koja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po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svojoj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geografskoj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poziciji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doprinosi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boljoj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teritorijalnoj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raspoređenosti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 xml:space="preserve"> </w:t>
            </w:r>
            <w:proofErr w:type="spellStart"/>
            <w:r w:rsidRPr="0034088C">
              <w:rPr>
                <w:rFonts w:ascii="Tahoma" w:hAnsi="Tahoma" w:cs="Tahoma"/>
                <w:bCs/>
                <w:lang w:val="sr-Cyrl-RS"/>
              </w:rPr>
              <w:t>podrške</w:t>
            </w:r>
            <w:proofErr w:type="spellEnd"/>
            <w:r w:rsidRPr="0034088C">
              <w:rPr>
                <w:rFonts w:ascii="Tahoma" w:hAnsi="Tahoma" w:cs="Tahoma"/>
                <w:bCs/>
                <w:lang w:val="sr-Cyrl-RS"/>
              </w:rPr>
              <w:t>.</w:t>
            </w:r>
          </w:p>
        </w:tc>
      </w:tr>
    </w:tbl>
    <w:p w14:paraId="3876373F" w14:textId="690C65CF" w:rsidR="0030102B" w:rsidRPr="005451DE" w:rsidRDefault="005451DE" w:rsidP="0030102B">
      <w:pPr>
        <w:autoSpaceDE w:val="0"/>
        <w:autoSpaceDN w:val="0"/>
        <w:adjustRightInd w:val="0"/>
        <w:spacing w:before="400" w:after="240"/>
        <w:jc w:val="both"/>
        <w:rPr>
          <w:rFonts w:ascii="Tahoma" w:hAnsi="Tahoma" w:cs="Tahoma"/>
          <w:color w:val="000000"/>
          <w:lang w:val="sr-Cyrl-RS"/>
        </w:rPr>
      </w:pPr>
      <w:proofErr w:type="spellStart"/>
      <w:r w:rsidRPr="005451DE">
        <w:rPr>
          <w:rFonts w:ascii="Tahoma" w:hAnsi="Tahoma" w:cs="Tahoma"/>
          <w:b/>
          <w:bCs/>
          <w:color w:val="000000"/>
          <w:lang w:val="sr-Cyrl-RS"/>
        </w:rPr>
        <w:t>Komunikacija</w:t>
      </w:r>
      <w:proofErr w:type="spellEnd"/>
      <w:r w:rsidRPr="005451DE">
        <w:rPr>
          <w:rFonts w:ascii="Tahoma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b/>
          <w:bCs/>
          <w:color w:val="000000"/>
          <w:lang w:val="sr-Cyrl-RS"/>
        </w:rPr>
        <w:t>sa</w:t>
      </w:r>
      <w:proofErr w:type="spellEnd"/>
      <w:r w:rsidRPr="005451DE">
        <w:rPr>
          <w:rFonts w:ascii="Tahoma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b/>
          <w:bCs/>
          <w:color w:val="000000"/>
          <w:lang w:val="sr-Cyrl-RS"/>
        </w:rPr>
        <w:t>podnosiocima</w:t>
      </w:r>
      <w:proofErr w:type="spellEnd"/>
      <w:r w:rsidRPr="005451DE">
        <w:rPr>
          <w:rFonts w:ascii="Tahoma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b/>
          <w:bCs/>
          <w:color w:val="000000"/>
          <w:lang w:val="sr-Cyrl-RS"/>
        </w:rPr>
        <w:t>prijava</w:t>
      </w:r>
      <w:proofErr w:type="spellEnd"/>
      <w:r w:rsidRPr="005451DE">
        <w:rPr>
          <w:rFonts w:ascii="Tahoma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b/>
          <w:bCs/>
          <w:color w:val="000000"/>
          <w:lang w:val="sr-Cyrl-RS"/>
        </w:rPr>
        <w:t>tokom</w:t>
      </w:r>
      <w:proofErr w:type="spellEnd"/>
      <w:r w:rsidRPr="005451DE">
        <w:rPr>
          <w:rFonts w:ascii="Tahoma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b/>
          <w:bCs/>
          <w:color w:val="000000"/>
          <w:lang w:val="sr-Cyrl-RS"/>
        </w:rPr>
        <w:t>procesa</w:t>
      </w:r>
      <w:proofErr w:type="spellEnd"/>
      <w:r w:rsidRPr="005451DE">
        <w:rPr>
          <w:rFonts w:ascii="Tahoma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b/>
          <w:bCs/>
          <w:color w:val="000000"/>
          <w:lang w:val="sr-Cyrl-RS"/>
        </w:rPr>
        <w:t>ocenjivanja</w:t>
      </w:r>
      <w:proofErr w:type="spellEnd"/>
      <w:r w:rsidRPr="005451DE">
        <w:rPr>
          <w:rFonts w:ascii="Tahoma" w:hAnsi="Tahoma" w:cs="Tahoma"/>
          <w:b/>
          <w:bCs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b/>
          <w:bCs/>
          <w:color w:val="000000"/>
          <w:lang w:val="sr-Cyrl-RS"/>
        </w:rPr>
        <w:t>prijava</w:t>
      </w:r>
      <w:proofErr w:type="spellEnd"/>
      <w:r w:rsidRPr="005451DE">
        <w:rPr>
          <w:rFonts w:ascii="Tahoma" w:hAnsi="Tahoma" w:cs="Tahoma"/>
          <w:b/>
          <w:bCs/>
          <w:color w:val="000000"/>
          <w:lang w:val="sr-Cyrl-RS"/>
        </w:rPr>
        <w:t xml:space="preserve"> –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Nadležna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Komisija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će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eventualne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zahteve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za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dodatnim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objašnjenjima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u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toku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procesa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ocenjivanja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podnosiocima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prijava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upućivati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putem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elektronske</w:t>
      </w:r>
      <w:proofErr w:type="spellEnd"/>
      <w:r w:rsidRPr="005451DE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5451DE">
        <w:rPr>
          <w:rFonts w:ascii="Tahoma" w:hAnsi="Tahoma" w:cs="Tahoma"/>
          <w:color w:val="000000"/>
          <w:lang w:val="sr-Cyrl-RS"/>
        </w:rPr>
        <w:t>pošte</w:t>
      </w:r>
      <w:proofErr w:type="spellEnd"/>
      <w:r w:rsidR="0030102B" w:rsidRPr="005451DE">
        <w:rPr>
          <w:rFonts w:ascii="Tahoma" w:hAnsi="Tahoma" w:cs="Tahoma"/>
          <w:color w:val="000000"/>
          <w:lang w:val="sr-Cyrl-RS"/>
        </w:rPr>
        <w:t>.</w:t>
      </w:r>
    </w:p>
    <w:p w14:paraId="4B61AA0B" w14:textId="77777777" w:rsidR="0081481E" w:rsidRPr="008C77A8" w:rsidRDefault="0081481E" w:rsidP="0030102B">
      <w:pPr>
        <w:jc w:val="both"/>
        <w:rPr>
          <w:rFonts w:ascii="Tahoma" w:eastAsia="Times New Roman" w:hAnsi="Tahoma" w:cs="Tahoma"/>
          <w:b/>
          <w:color w:val="000000"/>
          <w:lang w:val="sr-Cyrl-RS"/>
        </w:rPr>
      </w:pPr>
      <w:proofErr w:type="spellStart"/>
      <w:r w:rsidRPr="0081481E">
        <w:rPr>
          <w:rFonts w:ascii="Tahoma" w:eastAsia="Times New Roman" w:hAnsi="Tahoma" w:cs="Tahoma"/>
          <w:b/>
          <w:color w:val="000000"/>
          <w:lang w:val="sr-Cyrl-RS"/>
        </w:rPr>
        <w:t>Korak</w:t>
      </w:r>
      <w:proofErr w:type="spellEnd"/>
      <w:r w:rsidRPr="0081481E">
        <w:rPr>
          <w:rFonts w:ascii="Tahoma" w:eastAsia="Times New Roman" w:hAnsi="Tahoma" w:cs="Tahoma"/>
          <w:b/>
          <w:color w:val="000000"/>
          <w:lang w:val="sr-Cyrl-RS"/>
        </w:rPr>
        <w:t xml:space="preserve"> 3: </w:t>
      </w:r>
      <w:proofErr w:type="spellStart"/>
      <w:r w:rsidRPr="0081481E">
        <w:rPr>
          <w:rFonts w:ascii="Tahoma" w:eastAsia="Times New Roman" w:hAnsi="Tahoma" w:cs="Tahoma"/>
          <w:bCs/>
          <w:color w:val="000000"/>
          <w:lang w:val="sr-Cyrl-RS"/>
        </w:rPr>
        <w:t>Odabir</w:t>
      </w:r>
      <w:proofErr w:type="spellEnd"/>
      <w:r w:rsidRPr="0081481E">
        <w:rPr>
          <w:rFonts w:ascii="Tahoma" w:eastAsia="Times New Roman" w:hAnsi="Tahoma" w:cs="Tahoma"/>
          <w:bCs/>
          <w:color w:val="000000"/>
          <w:lang w:val="sr-Cyrl-RS"/>
        </w:rPr>
        <w:t xml:space="preserve"> </w:t>
      </w:r>
      <w:proofErr w:type="spellStart"/>
      <w:r w:rsidRPr="0081481E">
        <w:rPr>
          <w:rFonts w:ascii="Tahoma" w:eastAsia="Times New Roman" w:hAnsi="Tahoma" w:cs="Tahoma"/>
          <w:bCs/>
          <w:color w:val="000000"/>
          <w:lang w:val="sr-Cyrl-RS"/>
        </w:rPr>
        <w:t>lokalnih</w:t>
      </w:r>
      <w:proofErr w:type="spellEnd"/>
      <w:r w:rsidRPr="0081481E">
        <w:rPr>
          <w:rFonts w:ascii="Tahoma" w:eastAsia="Times New Roman" w:hAnsi="Tahoma" w:cs="Tahoma"/>
          <w:bCs/>
          <w:color w:val="000000"/>
          <w:lang w:val="sr-Cyrl-RS"/>
        </w:rPr>
        <w:t xml:space="preserve"> </w:t>
      </w:r>
      <w:proofErr w:type="spellStart"/>
      <w:r w:rsidRPr="0081481E">
        <w:rPr>
          <w:rFonts w:ascii="Tahoma" w:eastAsia="Times New Roman" w:hAnsi="Tahoma" w:cs="Tahoma"/>
          <w:bCs/>
          <w:color w:val="000000"/>
          <w:lang w:val="sr-Cyrl-RS"/>
        </w:rPr>
        <w:t>samouprava</w:t>
      </w:r>
      <w:proofErr w:type="spellEnd"/>
      <w:r w:rsidRPr="0081481E">
        <w:rPr>
          <w:rFonts w:ascii="Tahoma" w:eastAsia="Times New Roman" w:hAnsi="Tahoma" w:cs="Tahoma"/>
          <w:bCs/>
          <w:color w:val="000000"/>
          <w:lang w:val="sr-Cyrl-RS"/>
        </w:rPr>
        <w:t xml:space="preserve"> i </w:t>
      </w:r>
      <w:proofErr w:type="spellStart"/>
      <w:r w:rsidRPr="0081481E">
        <w:rPr>
          <w:rFonts w:ascii="Tahoma" w:eastAsia="Times New Roman" w:hAnsi="Tahoma" w:cs="Tahoma"/>
          <w:bCs/>
          <w:color w:val="000000"/>
          <w:lang w:val="sr-Cyrl-RS"/>
        </w:rPr>
        <w:t>zaključivanje</w:t>
      </w:r>
      <w:proofErr w:type="spellEnd"/>
      <w:r w:rsidRPr="0081481E">
        <w:rPr>
          <w:rFonts w:ascii="Tahoma" w:eastAsia="Times New Roman" w:hAnsi="Tahoma" w:cs="Tahoma"/>
          <w:bCs/>
          <w:color w:val="000000"/>
          <w:lang w:val="sr-Cyrl-RS"/>
        </w:rPr>
        <w:t xml:space="preserve"> </w:t>
      </w:r>
      <w:proofErr w:type="spellStart"/>
      <w:r w:rsidRPr="0081481E">
        <w:rPr>
          <w:rFonts w:ascii="Tahoma" w:eastAsia="Times New Roman" w:hAnsi="Tahoma" w:cs="Tahoma"/>
          <w:bCs/>
          <w:color w:val="000000"/>
          <w:lang w:val="sr-Cyrl-RS"/>
        </w:rPr>
        <w:t>sporazuma</w:t>
      </w:r>
      <w:proofErr w:type="spellEnd"/>
      <w:r w:rsidRPr="0081481E">
        <w:rPr>
          <w:rFonts w:ascii="Tahoma" w:eastAsia="Times New Roman" w:hAnsi="Tahoma" w:cs="Tahoma"/>
          <w:bCs/>
          <w:color w:val="000000"/>
          <w:lang w:val="sr-Cyrl-RS"/>
        </w:rPr>
        <w:t xml:space="preserve"> o </w:t>
      </w:r>
      <w:proofErr w:type="spellStart"/>
      <w:r w:rsidRPr="0081481E">
        <w:rPr>
          <w:rFonts w:ascii="Tahoma" w:eastAsia="Times New Roman" w:hAnsi="Tahoma" w:cs="Tahoma"/>
          <w:bCs/>
          <w:color w:val="000000"/>
          <w:lang w:val="sr-Cyrl-RS"/>
        </w:rPr>
        <w:t>saradnji</w:t>
      </w:r>
      <w:proofErr w:type="spellEnd"/>
    </w:p>
    <w:p w14:paraId="24AB9EA1" w14:textId="77777777" w:rsidR="0015312D" w:rsidRPr="008C77A8" w:rsidRDefault="0015312D" w:rsidP="0030102B">
      <w:pPr>
        <w:jc w:val="both"/>
        <w:rPr>
          <w:rFonts w:ascii="Tahoma" w:hAnsi="Tahoma" w:cs="Tahoma"/>
          <w:color w:val="000000"/>
          <w:lang w:val="sr-Cyrl-RS"/>
        </w:rPr>
      </w:pPr>
      <w:proofErr w:type="spellStart"/>
      <w:r w:rsidRPr="0015312D">
        <w:rPr>
          <w:rFonts w:ascii="Tahoma" w:hAnsi="Tahoma" w:cs="Tahoma"/>
          <w:color w:val="000000"/>
          <w:lang w:val="sr-Cyrl-RS"/>
        </w:rPr>
        <w:t>Komisija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će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nakon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tehničke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evaluacije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,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analizirati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i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potvrditi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konačnu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rang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listu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LS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predloženih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za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dodelu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stručne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podrške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koju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će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potvrditi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Nadzorni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odbor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Programa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. U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zavisnosti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od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interesovanja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i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kvaliteta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prijava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,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evaluaciona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komisija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zadržava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pravo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da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predloži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Nadzornom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odboru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Programa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veći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ili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manji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broj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lokalnih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samouprava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za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konačan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15312D">
        <w:rPr>
          <w:rFonts w:ascii="Tahoma" w:hAnsi="Tahoma" w:cs="Tahoma"/>
          <w:color w:val="000000"/>
          <w:lang w:val="sr-Cyrl-RS"/>
        </w:rPr>
        <w:t>odabir</w:t>
      </w:r>
      <w:proofErr w:type="spellEnd"/>
      <w:r w:rsidRPr="0015312D">
        <w:rPr>
          <w:rFonts w:ascii="Tahoma" w:hAnsi="Tahoma" w:cs="Tahoma"/>
          <w:color w:val="000000"/>
          <w:lang w:val="sr-Cyrl-RS"/>
        </w:rPr>
        <w:t>.</w:t>
      </w:r>
    </w:p>
    <w:p w14:paraId="09D0600D" w14:textId="6F4F672E" w:rsidR="0030102B" w:rsidRPr="008C77A8" w:rsidRDefault="00A929C3" w:rsidP="0030102B">
      <w:pPr>
        <w:jc w:val="both"/>
        <w:rPr>
          <w:rFonts w:ascii="Tahoma" w:hAnsi="Tahoma" w:cs="Tahoma"/>
          <w:color w:val="000000"/>
          <w:lang w:val="sr-Cyrl-RS"/>
        </w:rPr>
      </w:pPr>
      <w:proofErr w:type="spellStart"/>
      <w:r w:rsidRPr="00A929C3">
        <w:rPr>
          <w:rFonts w:ascii="Tahoma" w:hAnsi="Tahoma" w:cs="Tahoma"/>
          <w:color w:val="000000"/>
          <w:lang w:val="sr-Cyrl-RS"/>
        </w:rPr>
        <w:t>Okvirni</w:t>
      </w:r>
      <w:proofErr w:type="spellEnd"/>
      <w:r w:rsidRPr="00A929C3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A929C3">
        <w:rPr>
          <w:rFonts w:ascii="Tahoma" w:hAnsi="Tahoma" w:cs="Tahoma"/>
          <w:color w:val="000000"/>
          <w:lang w:val="sr-Cyrl-RS"/>
        </w:rPr>
        <w:t>period</w:t>
      </w:r>
      <w:proofErr w:type="spellEnd"/>
      <w:r w:rsidRPr="00A929C3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A929C3">
        <w:rPr>
          <w:rFonts w:ascii="Tahoma" w:hAnsi="Tahoma" w:cs="Tahoma"/>
          <w:color w:val="000000"/>
          <w:lang w:val="sr-Cyrl-RS"/>
        </w:rPr>
        <w:t>završetka</w:t>
      </w:r>
      <w:proofErr w:type="spellEnd"/>
      <w:r w:rsidRPr="00A929C3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A929C3">
        <w:rPr>
          <w:rFonts w:ascii="Tahoma" w:hAnsi="Tahoma" w:cs="Tahoma"/>
          <w:color w:val="000000"/>
          <w:lang w:val="sr-Cyrl-RS"/>
        </w:rPr>
        <w:t>procesa</w:t>
      </w:r>
      <w:proofErr w:type="spellEnd"/>
      <w:r w:rsidRPr="00A929C3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A929C3">
        <w:rPr>
          <w:rFonts w:ascii="Tahoma" w:hAnsi="Tahoma" w:cs="Tahoma"/>
          <w:color w:val="000000"/>
          <w:lang w:val="sr-Cyrl-RS"/>
        </w:rPr>
        <w:t>odabira</w:t>
      </w:r>
      <w:proofErr w:type="spellEnd"/>
      <w:r w:rsidRPr="00A929C3">
        <w:rPr>
          <w:rFonts w:ascii="Tahoma" w:hAnsi="Tahoma" w:cs="Tahoma"/>
          <w:color w:val="000000"/>
          <w:lang w:val="sr-Cyrl-RS"/>
        </w:rPr>
        <w:t xml:space="preserve"> u </w:t>
      </w:r>
      <w:proofErr w:type="spellStart"/>
      <w:r w:rsidRPr="00A929C3">
        <w:rPr>
          <w:rFonts w:ascii="Tahoma" w:hAnsi="Tahoma" w:cs="Tahoma"/>
          <w:color w:val="000000"/>
          <w:lang w:val="sr-Cyrl-RS"/>
        </w:rPr>
        <w:t>okviru</w:t>
      </w:r>
      <w:proofErr w:type="spellEnd"/>
      <w:r w:rsidRPr="00A929C3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A929C3">
        <w:rPr>
          <w:rFonts w:ascii="Tahoma" w:hAnsi="Tahoma" w:cs="Tahoma"/>
          <w:color w:val="000000"/>
          <w:lang w:val="sr-Cyrl-RS"/>
        </w:rPr>
        <w:t>ovog</w:t>
      </w:r>
      <w:proofErr w:type="spellEnd"/>
      <w:r w:rsidRPr="00A929C3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A929C3">
        <w:rPr>
          <w:rFonts w:ascii="Tahoma" w:hAnsi="Tahoma" w:cs="Tahoma"/>
          <w:color w:val="000000"/>
          <w:lang w:val="sr-Cyrl-RS"/>
        </w:rPr>
        <w:t>poziva</w:t>
      </w:r>
      <w:proofErr w:type="spellEnd"/>
      <w:r w:rsidRPr="00A929C3">
        <w:rPr>
          <w:rFonts w:ascii="Tahoma" w:hAnsi="Tahoma" w:cs="Tahoma"/>
          <w:color w:val="000000"/>
          <w:lang w:val="sr-Cyrl-RS"/>
        </w:rPr>
        <w:t xml:space="preserve"> </w:t>
      </w:r>
      <w:proofErr w:type="spellStart"/>
      <w:r w:rsidRPr="00AE2754">
        <w:rPr>
          <w:rFonts w:ascii="Tahoma" w:hAnsi="Tahoma" w:cs="Tahoma"/>
          <w:color w:val="000000"/>
          <w:lang w:val="sr-Cyrl-RS"/>
        </w:rPr>
        <w:t>je</w:t>
      </w:r>
      <w:proofErr w:type="spellEnd"/>
      <w:r w:rsidRPr="00AE2754">
        <w:rPr>
          <w:rFonts w:ascii="Tahoma" w:hAnsi="Tahoma" w:cs="Tahoma"/>
          <w:color w:val="000000"/>
          <w:lang w:val="sr-Cyrl-RS"/>
        </w:rPr>
        <w:t xml:space="preserve"> </w:t>
      </w:r>
      <w:r w:rsidR="00061779" w:rsidRPr="00FD76D3">
        <w:rPr>
          <w:rFonts w:ascii="Tahoma" w:hAnsi="Tahoma" w:cs="Tahoma"/>
          <w:color w:val="000000"/>
          <w:lang w:val="sr-Latn-RS"/>
        </w:rPr>
        <w:t>14</w:t>
      </w:r>
      <w:r w:rsidRPr="00FD76D3">
        <w:rPr>
          <w:rFonts w:ascii="Tahoma" w:hAnsi="Tahoma" w:cs="Tahoma"/>
          <w:color w:val="000000"/>
          <w:lang w:val="sr-Cyrl-RS"/>
        </w:rPr>
        <w:t xml:space="preserve">. </w:t>
      </w:r>
      <w:r w:rsidR="00B235AA" w:rsidRPr="00FD76D3">
        <w:rPr>
          <w:rFonts w:ascii="Tahoma" w:hAnsi="Tahoma" w:cs="Tahoma"/>
          <w:color w:val="000000"/>
          <w:lang w:val="sr-Latn-RS"/>
        </w:rPr>
        <w:t>jun</w:t>
      </w:r>
      <w:r w:rsidRPr="00FD76D3">
        <w:rPr>
          <w:rFonts w:ascii="Tahoma" w:hAnsi="Tahoma" w:cs="Tahoma"/>
          <w:color w:val="000000"/>
          <w:lang w:val="sr-Cyrl-RS"/>
        </w:rPr>
        <w:t xml:space="preserve"> 2024. </w:t>
      </w:r>
      <w:proofErr w:type="spellStart"/>
      <w:r w:rsidRPr="00FD76D3">
        <w:rPr>
          <w:rFonts w:ascii="Tahoma" w:hAnsi="Tahoma" w:cs="Tahoma"/>
          <w:color w:val="000000"/>
          <w:lang w:val="sr-Cyrl-RS"/>
        </w:rPr>
        <w:t>godine</w:t>
      </w:r>
      <w:proofErr w:type="spellEnd"/>
      <w:r w:rsidR="009E26DA" w:rsidRPr="00FD76D3">
        <w:rPr>
          <w:rFonts w:ascii="Tahoma" w:hAnsi="Tahoma" w:cs="Tahoma"/>
          <w:color w:val="000000"/>
          <w:lang w:val="sr-Cyrl-RS"/>
        </w:rPr>
        <w:t>.</w:t>
      </w:r>
    </w:p>
    <w:p w14:paraId="2023CA0E" w14:textId="631F526C" w:rsidR="009A1B3F" w:rsidRPr="008C77A8" w:rsidRDefault="009A1B3F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Nakon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odluke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odobravanju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podrške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odabranoj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LS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će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biti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ponuđeno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da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SKGO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potpiše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Sporazum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saradnji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koji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će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predstavljati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pravni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osnov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realizaciju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podrške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.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podnosiocima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prijava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čije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su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prijave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lastRenderedPageBreak/>
        <w:t>odabrane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programski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tim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će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pre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potpisanja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Sporazuma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saradnji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pristupiti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procesu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usaglašavanja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plana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aktivnosti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za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realizaciju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podrške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,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pri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čemu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će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taj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plan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činiti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sastavni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deo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Sporazuma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 xml:space="preserve"> o </w:t>
      </w:r>
      <w:proofErr w:type="spellStart"/>
      <w:r w:rsidRPr="009A1B3F">
        <w:rPr>
          <w:rFonts w:ascii="Tahoma" w:eastAsia="Times New Roman" w:hAnsi="Tahoma" w:cs="Tahoma"/>
          <w:color w:val="000000"/>
          <w:lang w:val="sr-Cyrl-RS"/>
        </w:rPr>
        <w:t>saradnji</w:t>
      </w:r>
      <w:proofErr w:type="spellEnd"/>
      <w:r w:rsidRPr="009A1B3F">
        <w:rPr>
          <w:rFonts w:ascii="Tahoma" w:eastAsia="Times New Roman" w:hAnsi="Tahoma" w:cs="Tahoma"/>
          <w:color w:val="000000"/>
          <w:lang w:val="sr-Cyrl-RS"/>
        </w:rPr>
        <w:t>.</w:t>
      </w:r>
    </w:p>
    <w:p w14:paraId="49520F82" w14:textId="0BE7429D" w:rsidR="0030102B" w:rsidRPr="00A45CA0" w:rsidRDefault="0030102B" w:rsidP="002F405D">
      <w:pPr>
        <w:pStyle w:val="Heading2"/>
      </w:pPr>
      <w:bookmarkStart w:id="17" w:name="_Toc534958169"/>
      <w:bookmarkStart w:id="18" w:name="_Toc163568023"/>
      <w:r w:rsidRPr="00A45CA0">
        <w:t xml:space="preserve">3.7. </w:t>
      </w:r>
      <w:bookmarkEnd w:id="17"/>
      <w:r w:rsidR="00AA5832" w:rsidRPr="00AA5832">
        <w:t>Okvirni kalendar</w:t>
      </w:r>
      <w:bookmarkEnd w:id="18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813"/>
      </w:tblGrid>
      <w:tr w:rsidR="00CD076E" w:rsidRPr="00A45CA0" w14:paraId="11896D12" w14:textId="77777777" w:rsidTr="00B705F8">
        <w:trPr>
          <w:jc w:val="center"/>
        </w:trPr>
        <w:tc>
          <w:tcPr>
            <w:tcW w:w="2263" w:type="dxa"/>
            <w:shd w:val="clear" w:color="auto" w:fill="2E74B5" w:themeFill="accent5" w:themeFillShade="BF"/>
          </w:tcPr>
          <w:bookmarkEnd w:id="16"/>
          <w:p w14:paraId="746C7383" w14:textId="00F942EC" w:rsidR="00CD076E" w:rsidRPr="00A45CA0" w:rsidRDefault="00AA5832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</w:pPr>
            <w:proofErr w:type="spellStart"/>
            <w:r w:rsidRPr="00AA5832"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  <w:t>Datum</w:t>
            </w:r>
            <w:proofErr w:type="spellEnd"/>
          </w:p>
        </w:tc>
        <w:tc>
          <w:tcPr>
            <w:tcW w:w="6813" w:type="dxa"/>
            <w:shd w:val="clear" w:color="auto" w:fill="2E74B5" w:themeFill="accent5" w:themeFillShade="BF"/>
          </w:tcPr>
          <w:p w14:paraId="7F9851DC" w14:textId="6B8586B6" w:rsidR="00CD076E" w:rsidRPr="00A45CA0" w:rsidRDefault="008951FB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</w:pPr>
            <w:proofErr w:type="spellStart"/>
            <w:r w:rsidRPr="008951FB"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  <w:t>Aktivnost</w:t>
            </w:r>
            <w:proofErr w:type="spellEnd"/>
          </w:p>
        </w:tc>
      </w:tr>
      <w:tr w:rsidR="00CD076E" w:rsidRPr="00A45CA0" w14:paraId="2A1CD49C" w14:textId="77777777" w:rsidTr="00B705F8">
        <w:trPr>
          <w:jc w:val="center"/>
        </w:trPr>
        <w:tc>
          <w:tcPr>
            <w:tcW w:w="2263" w:type="dxa"/>
          </w:tcPr>
          <w:p w14:paraId="602A00A9" w14:textId="5898D612" w:rsidR="00CD076E" w:rsidRPr="00FD76D3" w:rsidRDefault="00061779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FD76D3">
              <w:rPr>
                <w:rFonts w:ascii="Tahoma" w:eastAsia="Times New Roman" w:hAnsi="Tahoma" w:cs="Tahoma"/>
                <w:color w:val="000000"/>
              </w:rPr>
              <w:t>24</w:t>
            </w:r>
            <w:r w:rsidR="00CD076E" w:rsidRPr="00FD76D3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</w:t>
            </w:r>
            <w:proofErr w:type="spellStart"/>
            <w:r w:rsidR="00E32300" w:rsidRPr="00FD76D3">
              <w:rPr>
                <w:rFonts w:ascii="Tahoma" w:eastAsia="Times New Roman" w:hAnsi="Tahoma" w:cs="Tahoma"/>
                <w:color w:val="000000"/>
                <w:lang w:val="sr-Cyrl-RS"/>
              </w:rPr>
              <w:t>april</w:t>
            </w:r>
            <w:proofErr w:type="spellEnd"/>
          </w:p>
        </w:tc>
        <w:tc>
          <w:tcPr>
            <w:tcW w:w="6813" w:type="dxa"/>
            <w:vAlign w:val="center"/>
          </w:tcPr>
          <w:p w14:paraId="46684B48" w14:textId="10AD091D" w:rsidR="00CD076E" w:rsidRPr="00A45CA0" w:rsidRDefault="00360A52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360A52">
              <w:rPr>
                <w:rFonts w:ascii="Tahoma" w:eastAsia="Times New Roman" w:hAnsi="Tahoma" w:cs="Tahoma"/>
                <w:color w:val="000000"/>
                <w:lang w:val="sr-Cyrl-RS"/>
              </w:rPr>
              <w:t>Raspisivanje</w:t>
            </w:r>
            <w:proofErr w:type="spellEnd"/>
            <w:r w:rsidRPr="00360A5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360A52">
              <w:rPr>
                <w:rFonts w:ascii="Tahoma" w:eastAsia="Times New Roman" w:hAnsi="Tahoma" w:cs="Tahoma"/>
                <w:color w:val="000000"/>
                <w:lang w:val="sr-Cyrl-RS"/>
              </w:rPr>
              <w:t>konkursa</w:t>
            </w:r>
            <w:proofErr w:type="spellEnd"/>
          </w:p>
        </w:tc>
      </w:tr>
      <w:tr w:rsidR="00CD076E" w:rsidRPr="00850D57" w14:paraId="4D05BBA6" w14:textId="77777777" w:rsidTr="00B705F8">
        <w:trPr>
          <w:jc w:val="center"/>
        </w:trPr>
        <w:tc>
          <w:tcPr>
            <w:tcW w:w="2263" w:type="dxa"/>
          </w:tcPr>
          <w:p w14:paraId="2F153B24" w14:textId="7A594E59" w:rsidR="00CD076E" w:rsidRPr="00FD76D3" w:rsidRDefault="00B235AA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FD76D3">
              <w:rPr>
                <w:rFonts w:ascii="Tahoma" w:eastAsia="Times New Roman" w:hAnsi="Tahoma" w:cs="Tahoma"/>
                <w:color w:val="000000"/>
                <w:lang w:val="sr-Latn-RS"/>
              </w:rPr>
              <w:t>1</w:t>
            </w:r>
            <w:r w:rsidR="00061779" w:rsidRPr="00FD76D3">
              <w:rPr>
                <w:rFonts w:ascii="Tahoma" w:eastAsia="Times New Roman" w:hAnsi="Tahoma" w:cs="Tahoma"/>
                <w:color w:val="000000"/>
                <w:lang w:val="sr-Latn-RS"/>
              </w:rPr>
              <w:t>5</w:t>
            </w:r>
            <w:r w:rsidR="00CD076E" w:rsidRPr="00FD76D3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</w:t>
            </w:r>
            <w:r w:rsidR="00D43059" w:rsidRPr="00FD76D3">
              <w:rPr>
                <w:rFonts w:ascii="Tahoma" w:eastAsia="Times New Roman" w:hAnsi="Tahoma" w:cs="Tahoma"/>
                <w:color w:val="000000"/>
                <w:lang w:val="en-GB"/>
              </w:rPr>
              <w:t>m</w:t>
            </w:r>
            <w:r w:rsidR="00CD076E" w:rsidRPr="00FD76D3">
              <w:rPr>
                <w:rFonts w:ascii="Tahoma" w:eastAsia="Times New Roman" w:hAnsi="Tahoma" w:cs="Tahoma"/>
                <w:color w:val="000000"/>
                <w:lang w:val="sr-Cyrl-RS"/>
              </w:rPr>
              <w:t>ај</w:t>
            </w:r>
          </w:p>
        </w:tc>
        <w:tc>
          <w:tcPr>
            <w:tcW w:w="6813" w:type="dxa"/>
          </w:tcPr>
          <w:p w14:paraId="5C8A9F14" w14:textId="5C70A69B" w:rsidR="00CD076E" w:rsidRPr="00A45CA0" w:rsidRDefault="00EB6E37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Rok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za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postavljanje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pitanja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o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prijavi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za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podršku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za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koje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će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SKGO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objavljivati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odgovore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na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internet</w:t>
            </w:r>
            <w:proofErr w:type="spellEnd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EB6E37">
              <w:rPr>
                <w:rFonts w:ascii="Tahoma" w:eastAsia="Times New Roman" w:hAnsi="Tahoma" w:cs="Tahoma"/>
                <w:color w:val="000000"/>
                <w:lang w:val="sr-Cyrl-RS"/>
              </w:rPr>
              <w:t>stranici</w:t>
            </w:r>
            <w:proofErr w:type="spellEnd"/>
          </w:p>
        </w:tc>
      </w:tr>
      <w:tr w:rsidR="00CD076E" w:rsidRPr="00850D57" w14:paraId="13FF45A5" w14:textId="77777777" w:rsidTr="00B705F8">
        <w:trPr>
          <w:jc w:val="center"/>
        </w:trPr>
        <w:tc>
          <w:tcPr>
            <w:tcW w:w="2263" w:type="dxa"/>
          </w:tcPr>
          <w:p w14:paraId="6FFCB308" w14:textId="4F1F960E" w:rsidR="00CD076E" w:rsidRPr="00FD76D3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</w:pPr>
            <w:r w:rsidRPr="00FD76D3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1</w:t>
            </w:r>
            <w:r w:rsidR="00061779" w:rsidRPr="00FD76D3">
              <w:rPr>
                <w:rFonts w:ascii="Tahoma" w:eastAsia="Times New Roman" w:hAnsi="Tahoma" w:cs="Tahoma"/>
                <w:b/>
                <w:bCs/>
                <w:color w:val="000000"/>
                <w:lang w:val="sr-Latn-RS"/>
              </w:rPr>
              <w:t>7</w:t>
            </w:r>
            <w:r w:rsidRPr="00FD76D3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. </w:t>
            </w:r>
            <w:r w:rsidR="00D43059" w:rsidRPr="00FD76D3">
              <w:rPr>
                <w:rFonts w:ascii="Tahoma" w:eastAsia="Times New Roman" w:hAnsi="Tahoma" w:cs="Tahoma"/>
                <w:b/>
                <w:bCs/>
                <w:color w:val="000000"/>
                <w:lang w:val="en-GB"/>
              </w:rPr>
              <w:t>m</w:t>
            </w:r>
            <w:r w:rsidRPr="00FD76D3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ај </w:t>
            </w:r>
          </w:p>
        </w:tc>
        <w:tc>
          <w:tcPr>
            <w:tcW w:w="6813" w:type="dxa"/>
          </w:tcPr>
          <w:p w14:paraId="4C6D310B" w14:textId="5E1B7A68" w:rsidR="00CD076E" w:rsidRPr="00A45CA0" w:rsidRDefault="00240A16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</w:pPr>
            <w:proofErr w:type="spellStart"/>
            <w:r w:rsidRPr="00240A16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Krajnji</w:t>
            </w:r>
            <w:proofErr w:type="spellEnd"/>
            <w:r w:rsidRPr="00240A16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240A16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rok</w:t>
            </w:r>
            <w:proofErr w:type="spellEnd"/>
            <w:r w:rsidRPr="00240A16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za </w:t>
            </w:r>
            <w:proofErr w:type="spellStart"/>
            <w:r w:rsidRPr="00240A16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podnošenje</w:t>
            </w:r>
            <w:proofErr w:type="spellEnd"/>
            <w:r w:rsidRPr="00240A16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240A16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prijava</w:t>
            </w:r>
            <w:proofErr w:type="spellEnd"/>
          </w:p>
        </w:tc>
      </w:tr>
      <w:tr w:rsidR="00CD076E" w:rsidRPr="0000180F" w14:paraId="4DF4D850" w14:textId="77777777" w:rsidTr="00B705F8">
        <w:trPr>
          <w:trHeight w:val="228"/>
          <w:jc w:val="center"/>
        </w:trPr>
        <w:tc>
          <w:tcPr>
            <w:tcW w:w="2263" w:type="dxa"/>
          </w:tcPr>
          <w:p w14:paraId="431F8BD4" w14:textId="04C9F21E" w:rsidR="00CD076E" w:rsidRPr="00FD76D3" w:rsidRDefault="00061779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FD76D3">
              <w:rPr>
                <w:rFonts w:ascii="Tahoma" w:eastAsia="Times New Roman" w:hAnsi="Tahoma" w:cs="Tahoma"/>
                <w:color w:val="000000"/>
              </w:rPr>
              <w:t>20</w:t>
            </w:r>
            <w:r w:rsidR="00EA182D" w:rsidRPr="00FD76D3">
              <w:rPr>
                <w:rFonts w:ascii="Tahoma" w:eastAsia="Times New Roman" w:hAnsi="Tahoma" w:cs="Tahoma"/>
                <w:color w:val="000000"/>
              </w:rPr>
              <w:t xml:space="preserve">. i </w:t>
            </w:r>
            <w:r w:rsidRPr="00FD76D3">
              <w:rPr>
                <w:rFonts w:ascii="Tahoma" w:eastAsia="Times New Roman" w:hAnsi="Tahoma" w:cs="Tahoma"/>
                <w:color w:val="000000"/>
              </w:rPr>
              <w:t>21</w:t>
            </w:r>
            <w:r w:rsidR="00CD076E" w:rsidRPr="00FD76D3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</w:t>
            </w:r>
            <w:r w:rsidR="00D43059" w:rsidRPr="00FD76D3">
              <w:rPr>
                <w:rFonts w:ascii="Tahoma" w:eastAsia="Times New Roman" w:hAnsi="Tahoma" w:cs="Tahoma"/>
                <w:color w:val="000000"/>
                <w:lang w:val="en-GB"/>
              </w:rPr>
              <w:t>m</w:t>
            </w:r>
            <w:r w:rsidR="00CD076E" w:rsidRPr="00FD76D3">
              <w:rPr>
                <w:rFonts w:ascii="Tahoma" w:eastAsia="Times New Roman" w:hAnsi="Tahoma" w:cs="Tahoma"/>
                <w:color w:val="000000"/>
                <w:lang w:val="sr-Cyrl-RS"/>
              </w:rPr>
              <w:t>ај</w:t>
            </w:r>
          </w:p>
        </w:tc>
        <w:tc>
          <w:tcPr>
            <w:tcW w:w="6813" w:type="dxa"/>
          </w:tcPr>
          <w:p w14:paraId="2C442965" w14:textId="17196976" w:rsidR="00CD076E" w:rsidRPr="00A45CA0" w:rsidRDefault="00C176DD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Administrativna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provera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ispunjenosti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kriterijuma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za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konkurisanj</w:t>
            </w:r>
            <w:proofErr w:type="spellEnd"/>
          </w:p>
        </w:tc>
      </w:tr>
      <w:tr w:rsidR="00CD076E" w:rsidRPr="00850D57" w14:paraId="59955A51" w14:textId="77777777" w:rsidTr="00B705F8">
        <w:trPr>
          <w:jc w:val="center"/>
        </w:trPr>
        <w:tc>
          <w:tcPr>
            <w:tcW w:w="2263" w:type="dxa"/>
          </w:tcPr>
          <w:p w14:paraId="451B5FFC" w14:textId="7D5C4631" w:rsidR="00CD076E" w:rsidRPr="00FD76D3" w:rsidRDefault="00061779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Latn-RS"/>
              </w:rPr>
            </w:pPr>
            <w:r w:rsidRPr="00FD76D3">
              <w:rPr>
                <w:rFonts w:ascii="Tahoma" w:eastAsia="Times New Roman" w:hAnsi="Tahoma" w:cs="Tahoma"/>
                <w:color w:val="000000"/>
                <w:lang w:val="en-GB"/>
              </w:rPr>
              <w:t>22</w:t>
            </w:r>
            <w:r w:rsidR="00071C3A" w:rsidRPr="00FD76D3">
              <w:rPr>
                <w:rFonts w:ascii="Tahoma" w:eastAsia="Times New Roman" w:hAnsi="Tahoma" w:cs="Tahoma"/>
                <w:color w:val="000000"/>
                <w:lang w:val="en-GB"/>
              </w:rPr>
              <w:t xml:space="preserve"> </w:t>
            </w:r>
            <w:proofErr w:type="spellStart"/>
            <w:r w:rsidR="00071C3A" w:rsidRPr="00FD76D3">
              <w:rPr>
                <w:rFonts w:ascii="Tahoma" w:eastAsia="Times New Roman" w:hAnsi="Tahoma" w:cs="Tahoma"/>
                <w:color w:val="000000"/>
                <w:lang w:val="en-GB"/>
              </w:rPr>
              <w:t>maj</w:t>
            </w:r>
            <w:proofErr w:type="spellEnd"/>
            <w:r w:rsidR="00CD076E" w:rsidRPr="00FD76D3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</w:t>
            </w:r>
            <w:r w:rsidR="00C6665E" w:rsidRPr="00FD76D3">
              <w:rPr>
                <w:rFonts w:ascii="Tahoma" w:eastAsia="Times New Roman" w:hAnsi="Tahoma" w:cs="Tahoma"/>
                <w:color w:val="000000"/>
                <w:lang w:val="sr-Latn-RS"/>
              </w:rPr>
              <w:t>do</w:t>
            </w:r>
            <w:r w:rsidR="00CD076E" w:rsidRPr="00FD76D3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r w:rsidRPr="00FD76D3">
              <w:rPr>
                <w:rFonts w:ascii="Tahoma" w:eastAsia="Times New Roman" w:hAnsi="Tahoma" w:cs="Tahoma"/>
                <w:color w:val="000000"/>
              </w:rPr>
              <w:t>13</w:t>
            </w:r>
            <w:r w:rsidR="00CD076E" w:rsidRPr="00FD76D3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</w:t>
            </w:r>
            <w:proofErr w:type="spellStart"/>
            <w:r w:rsidR="00B235AA" w:rsidRPr="00FD76D3">
              <w:rPr>
                <w:rFonts w:ascii="Tahoma" w:eastAsia="Times New Roman" w:hAnsi="Tahoma" w:cs="Tahoma"/>
                <w:color w:val="000000"/>
                <w:lang w:val="sr-Cyrl-RS"/>
              </w:rPr>
              <w:t>jun</w:t>
            </w:r>
            <w:proofErr w:type="spellEnd"/>
          </w:p>
        </w:tc>
        <w:tc>
          <w:tcPr>
            <w:tcW w:w="6813" w:type="dxa"/>
          </w:tcPr>
          <w:p w14:paraId="463E281A" w14:textId="7774ED41" w:rsidR="00CD076E" w:rsidRPr="00A45CA0" w:rsidRDefault="00C176DD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proofErr w:type="spellStart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Tehnička</w:t>
            </w:r>
            <w:proofErr w:type="spellEnd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evaluacija</w:t>
            </w:r>
            <w:proofErr w:type="spellEnd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podnetih</w:t>
            </w:r>
            <w:proofErr w:type="spellEnd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prijava</w:t>
            </w:r>
            <w:proofErr w:type="spellEnd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i </w:t>
            </w:r>
            <w:proofErr w:type="spellStart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selekcija</w:t>
            </w:r>
            <w:proofErr w:type="spellEnd"/>
            <w:r w:rsidRPr="00C176D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LS</w:t>
            </w:r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–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Prijave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se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detaljno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analiziraju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i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rangiraju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u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skladu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sa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unapred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usaglašenim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sistemom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bodovanja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, u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skladu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sa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procedurama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objašnjenim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u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odeljku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3.6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ovih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smernica</w:t>
            </w:r>
            <w:proofErr w:type="spellEnd"/>
            <w:r w:rsidRPr="00C176DD">
              <w:rPr>
                <w:rFonts w:ascii="Tahoma" w:eastAsia="Times New Roman" w:hAnsi="Tahoma" w:cs="Tahoma"/>
                <w:color w:val="000000"/>
                <w:lang w:val="sr-Cyrl-RS"/>
              </w:rPr>
              <w:t>.</w:t>
            </w:r>
          </w:p>
        </w:tc>
      </w:tr>
      <w:tr w:rsidR="00CD076E" w:rsidRPr="0000180F" w14:paraId="4C179005" w14:textId="77777777" w:rsidTr="00B705F8">
        <w:trPr>
          <w:jc w:val="center"/>
        </w:trPr>
        <w:tc>
          <w:tcPr>
            <w:tcW w:w="2263" w:type="dxa"/>
          </w:tcPr>
          <w:p w14:paraId="51B6AC58" w14:textId="3B5D403C" w:rsidR="00CD076E" w:rsidRPr="00FD76D3" w:rsidRDefault="00877B7C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Latn-RS"/>
              </w:rPr>
            </w:pPr>
            <w:r w:rsidRPr="00FD76D3">
              <w:rPr>
                <w:rFonts w:ascii="Tahoma" w:eastAsia="Times New Roman" w:hAnsi="Tahoma" w:cs="Tahoma"/>
                <w:color w:val="000000"/>
                <w:lang w:val="sr-Latn-RS"/>
              </w:rPr>
              <w:t>14</w:t>
            </w:r>
            <w:r w:rsidR="00CD076E" w:rsidRPr="00FD76D3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</w:t>
            </w:r>
            <w:proofErr w:type="spellStart"/>
            <w:r w:rsidR="00B235AA" w:rsidRPr="00FD76D3">
              <w:rPr>
                <w:rFonts w:ascii="Tahoma" w:eastAsia="Times New Roman" w:hAnsi="Tahoma" w:cs="Tahoma"/>
                <w:color w:val="000000"/>
                <w:lang w:val="sr-Cyrl-RS"/>
              </w:rPr>
              <w:t>jun</w:t>
            </w:r>
            <w:proofErr w:type="spellEnd"/>
          </w:p>
        </w:tc>
        <w:tc>
          <w:tcPr>
            <w:tcW w:w="6813" w:type="dxa"/>
          </w:tcPr>
          <w:p w14:paraId="4B4C364D" w14:textId="21108810" w:rsidR="00D83B22" w:rsidRPr="00D83B22" w:rsidRDefault="00D83B22" w:rsidP="00D83B22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proofErr w:type="spellStart"/>
            <w:r w:rsidRPr="00D83B22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Informisanje</w:t>
            </w:r>
            <w:proofErr w:type="spellEnd"/>
            <w:r w:rsidRPr="00D83B22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lokalnih</w:t>
            </w:r>
            <w:proofErr w:type="spellEnd"/>
            <w:r w:rsidRPr="00D83B22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samouprava</w:t>
            </w:r>
            <w:proofErr w:type="spellEnd"/>
            <w:r w:rsidRPr="00D83B22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o </w:t>
            </w:r>
            <w:proofErr w:type="spellStart"/>
            <w:r w:rsidRPr="00D83B22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rezultatima</w:t>
            </w:r>
            <w:proofErr w:type="spellEnd"/>
            <w:r w:rsidRPr="00D83B22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konkursa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–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Podnosioci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prijava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koji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su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učestvovali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na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konkursu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biće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obavešteni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o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rezultatima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konkursa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pisanim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putem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.</w:t>
            </w:r>
          </w:p>
          <w:p w14:paraId="28AB3B88" w14:textId="45CC0B07" w:rsidR="00CD076E" w:rsidRPr="00A45CA0" w:rsidRDefault="00D83B22" w:rsidP="00D83B22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Sporazum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o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saradnji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će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biti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pripremljen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i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potpisan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od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strane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SKGO i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izabranih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lokalnih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proofErr w:type="spellStart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samouprava</w:t>
            </w:r>
            <w:proofErr w:type="spellEnd"/>
            <w:r w:rsidRPr="00D83B22">
              <w:rPr>
                <w:rFonts w:ascii="Tahoma" w:eastAsia="Times New Roman" w:hAnsi="Tahoma" w:cs="Tahoma"/>
                <w:color w:val="000000"/>
                <w:lang w:val="sr-Cyrl-RS"/>
              </w:rPr>
              <w:t>.</w:t>
            </w:r>
          </w:p>
        </w:tc>
      </w:tr>
    </w:tbl>
    <w:p w14:paraId="0B7CD725" w14:textId="77777777" w:rsidR="0030102B" w:rsidRPr="00CD076E" w:rsidRDefault="0030102B" w:rsidP="0030102B">
      <w:pPr>
        <w:ind w:right="-720"/>
        <w:rPr>
          <w:rFonts w:ascii="Tahoma" w:hAnsi="Tahoma" w:cs="Tahoma"/>
          <w:lang w:val="sr-Cyrl-RS"/>
        </w:rPr>
      </w:pPr>
    </w:p>
    <w:p w14:paraId="1628E464" w14:textId="578A090E" w:rsidR="004A091D" w:rsidRPr="004A091D" w:rsidRDefault="004A091D" w:rsidP="004A091D">
      <w:pPr>
        <w:ind w:right="-720"/>
        <w:rPr>
          <w:rFonts w:ascii="Tahoma" w:hAnsi="Tahoma" w:cs="Tahoma"/>
          <w:lang w:val="sr-Cyrl-RS"/>
        </w:rPr>
      </w:pPr>
      <w:proofErr w:type="spellStart"/>
      <w:r w:rsidRPr="004A091D">
        <w:rPr>
          <w:rFonts w:ascii="Tahoma" w:hAnsi="Tahoma" w:cs="Tahoma"/>
          <w:lang w:val="sr-Cyrl-RS"/>
        </w:rPr>
        <w:t>Prilog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r w:rsidR="00335E28">
        <w:rPr>
          <w:rFonts w:ascii="Tahoma" w:hAnsi="Tahoma" w:cs="Tahoma"/>
          <w:lang w:val="sr-Latn-RS"/>
        </w:rPr>
        <w:t>2</w:t>
      </w:r>
      <w:r w:rsidRPr="004A091D">
        <w:rPr>
          <w:rFonts w:ascii="Tahoma" w:hAnsi="Tahoma" w:cs="Tahoma"/>
          <w:lang w:val="sr-Cyrl-RS"/>
        </w:rPr>
        <w:t xml:space="preserve"> –  </w:t>
      </w:r>
      <w:proofErr w:type="spellStart"/>
      <w:r w:rsidRPr="004A091D">
        <w:rPr>
          <w:rFonts w:ascii="Tahoma" w:hAnsi="Tahoma" w:cs="Tahoma"/>
          <w:lang w:val="sr-Cyrl-RS"/>
        </w:rPr>
        <w:t>Opis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podrške</w:t>
      </w:r>
      <w:proofErr w:type="spellEnd"/>
      <w:r w:rsidRPr="004A091D">
        <w:rPr>
          <w:rFonts w:ascii="Tahoma" w:hAnsi="Tahoma" w:cs="Tahoma"/>
          <w:lang w:val="sr-Cyrl-RS"/>
        </w:rPr>
        <w:t xml:space="preserve"> za </w:t>
      </w:r>
      <w:proofErr w:type="spellStart"/>
      <w:r w:rsidRPr="004A091D">
        <w:rPr>
          <w:rFonts w:ascii="Tahoma" w:hAnsi="Tahoma" w:cs="Tahoma"/>
          <w:lang w:val="sr-Cyrl-RS"/>
        </w:rPr>
        <w:t>izradu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izveštaja</w:t>
      </w:r>
      <w:proofErr w:type="spellEnd"/>
      <w:r w:rsidRPr="004A091D">
        <w:rPr>
          <w:rFonts w:ascii="Tahoma" w:hAnsi="Tahoma" w:cs="Tahoma"/>
          <w:lang w:val="sr-Cyrl-RS"/>
        </w:rPr>
        <w:t xml:space="preserve"> o </w:t>
      </w:r>
      <w:proofErr w:type="spellStart"/>
      <w:r w:rsidRPr="004A091D">
        <w:rPr>
          <w:rFonts w:ascii="Tahoma" w:hAnsi="Tahoma" w:cs="Tahoma"/>
          <w:lang w:val="sr-Cyrl-RS"/>
        </w:rPr>
        <w:t>učincima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sprovođenja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plana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razvoja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lokalne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samouprave</w:t>
      </w:r>
      <w:proofErr w:type="spellEnd"/>
    </w:p>
    <w:p w14:paraId="39CE9A95" w14:textId="04E07622" w:rsidR="004A091D" w:rsidRPr="004A091D" w:rsidRDefault="004A091D" w:rsidP="004A091D">
      <w:pPr>
        <w:ind w:right="-720"/>
        <w:rPr>
          <w:rFonts w:ascii="Tahoma" w:hAnsi="Tahoma" w:cs="Tahoma"/>
          <w:lang w:val="sr-Cyrl-RS"/>
        </w:rPr>
      </w:pPr>
      <w:proofErr w:type="spellStart"/>
      <w:r w:rsidRPr="004A091D">
        <w:rPr>
          <w:rFonts w:ascii="Tahoma" w:hAnsi="Tahoma" w:cs="Tahoma"/>
          <w:lang w:val="sr-Cyrl-RS"/>
        </w:rPr>
        <w:t>Prilog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r w:rsidR="00335E28">
        <w:rPr>
          <w:rFonts w:ascii="Tahoma" w:hAnsi="Tahoma" w:cs="Tahoma"/>
          <w:lang w:val="sr-Latn-RS"/>
        </w:rPr>
        <w:t>3</w:t>
      </w:r>
      <w:r w:rsidRPr="004A091D">
        <w:rPr>
          <w:rFonts w:ascii="Tahoma" w:hAnsi="Tahoma" w:cs="Tahoma"/>
          <w:lang w:val="sr-Cyrl-RS"/>
        </w:rPr>
        <w:t xml:space="preserve"> – </w:t>
      </w:r>
      <w:proofErr w:type="spellStart"/>
      <w:r w:rsidRPr="004A091D">
        <w:rPr>
          <w:rFonts w:ascii="Tahoma" w:hAnsi="Tahoma" w:cs="Tahoma"/>
          <w:lang w:val="sr-Cyrl-RS"/>
        </w:rPr>
        <w:t>Obrazac</w:t>
      </w:r>
      <w:proofErr w:type="spellEnd"/>
      <w:r w:rsidRPr="004A091D">
        <w:rPr>
          <w:rFonts w:ascii="Tahoma" w:hAnsi="Tahoma" w:cs="Tahoma"/>
          <w:lang w:val="sr-Cyrl-RS"/>
        </w:rPr>
        <w:t xml:space="preserve"> za </w:t>
      </w:r>
      <w:proofErr w:type="spellStart"/>
      <w:r w:rsidRPr="004A091D">
        <w:rPr>
          <w:rFonts w:ascii="Tahoma" w:hAnsi="Tahoma" w:cs="Tahoma"/>
          <w:lang w:val="sr-Cyrl-RS"/>
        </w:rPr>
        <w:t>prijavu</w:t>
      </w:r>
      <w:proofErr w:type="spellEnd"/>
    </w:p>
    <w:p w14:paraId="072A0EAB" w14:textId="29510500" w:rsidR="0030102B" w:rsidRPr="00A45CA0" w:rsidRDefault="004A091D" w:rsidP="004A091D">
      <w:pPr>
        <w:ind w:right="-720"/>
        <w:rPr>
          <w:rFonts w:ascii="Tahoma" w:hAnsi="Tahoma" w:cs="Tahoma"/>
          <w:lang w:val="sr-Cyrl-RS"/>
        </w:rPr>
      </w:pPr>
      <w:proofErr w:type="spellStart"/>
      <w:r w:rsidRPr="004A091D">
        <w:rPr>
          <w:rFonts w:ascii="Tahoma" w:hAnsi="Tahoma" w:cs="Tahoma"/>
          <w:lang w:val="sr-Cyrl-RS"/>
        </w:rPr>
        <w:t>Prilog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r w:rsidR="00335E28">
        <w:rPr>
          <w:rFonts w:ascii="Tahoma" w:hAnsi="Tahoma" w:cs="Tahoma"/>
          <w:lang w:val="sr-Latn-RS"/>
        </w:rPr>
        <w:t>4</w:t>
      </w:r>
      <w:r w:rsidRPr="004A091D">
        <w:rPr>
          <w:rFonts w:ascii="Tahoma" w:hAnsi="Tahoma" w:cs="Tahoma"/>
          <w:lang w:val="sr-Cyrl-RS"/>
        </w:rPr>
        <w:t xml:space="preserve"> - </w:t>
      </w:r>
      <w:proofErr w:type="spellStart"/>
      <w:r w:rsidRPr="004A091D">
        <w:rPr>
          <w:rFonts w:ascii="Tahoma" w:hAnsi="Tahoma" w:cs="Tahoma"/>
          <w:lang w:val="sr-Cyrl-RS"/>
        </w:rPr>
        <w:t>Izjava</w:t>
      </w:r>
      <w:proofErr w:type="spellEnd"/>
      <w:r w:rsidRPr="004A091D">
        <w:rPr>
          <w:rFonts w:ascii="Tahoma" w:hAnsi="Tahoma" w:cs="Tahoma"/>
          <w:lang w:val="sr-Cyrl-RS"/>
        </w:rPr>
        <w:t xml:space="preserve"> o </w:t>
      </w:r>
      <w:proofErr w:type="spellStart"/>
      <w:r w:rsidRPr="004A091D">
        <w:rPr>
          <w:rFonts w:ascii="Tahoma" w:hAnsi="Tahoma" w:cs="Tahoma"/>
          <w:lang w:val="sr-Cyrl-RS"/>
        </w:rPr>
        <w:t>spremnosti</w:t>
      </w:r>
      <w:proofErr w:type="spellEnd"/>
      <w:r w:rsidRPr="004A091D">
        <w:rPr>
          <w:rFonts w:ascii="Tahoma" w:hAnsi="Tahoma" w:cs="Tahoma"/>
          <w:lang w:val="sr-Cyrl-RS"/>
        </w:rPr>
        <w:t xml:space="preserve"> za </w:t>
      </w:r>
      <w:proofErr w:type="spellStart"/>
      <w:r w:rsidRPr="004A091D">
        <w:rPr>
          <w:rFonts w:ascii="Tahoma" w:hAnsi="Tahoma" w:cs="Tahoma"/>
          <w:lang w:val="sr-Cyrl-RS"/>
        </w:rPr>
        <w:t>korišćenje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stručne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podrške</w:t>
      </w:r>
      <w:proofErr w:type="spellEnd"/>
      <w:r w:rsidRPr="004A091D">
        <w:rPr>
          <w:rFonts w:ascii="Tahoma" w:hAnsi="Tahoma" w:cs="Tahoma"/>
          <w:lang w:val="sr-Cyrl-RS"/>
        </w:rPr>
        <w:t xml:space="preserve"> za </w:t>
      </w:r>
      <w:proofErr w:type="spellStart"/>
      <w:r w:rsidRPr="004A091D">
        <w:rPr>
          <w:rFonts w:ascii="Tahoma" w:hAnsi="Tahoma" w:cs="Tahoma"/>
          <w:lang w:val="sr-Cyrl-RS"/>
        </w:rPr>
        <w:t>izradu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izveštaja</w:t>
      </w:r>
      <w:proofErr w:type="spellEnd"/>
      <w:r w:rsidRPr="004A091D">
        <w:rPr>
          <w:rFonts w:ascii="Tahoma" w:hAnsi="Tahoma" w:cs="Tahoma"/>
          <w:lang w:val="sr-Cyrl-RS"/>
        </w:rPr>
        <w:t xml:space="preserve"> o </w:t>
      </w:r>
      <w:proofErr w:type="spellStart"/>
      <w:r w:rsidRPr="004A091D">
        <w:rPr>
          <w:rFonts w:ascii="Tahoma" w:hAnsi="Tahoma" w:cs="Tahoma"/>
          <w:lang w:val="sr-Cyrl-RS"/>
        </w:rPr>
        <w:t>učincima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sprovođenja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Plana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razvoja</w:t>
      </w:r>
      <w:proofErr w:type="spellEnd"/>
      <w:r w:rsidRPr="004A091D">
        <w:rPr>
          <w:rFonts w:ascii="Tahoma" w:hAnsi="Tahoma" w:cs="Tahoma"/>
          <w:lang w:val="sr-Cyrl-RS"/>
        </w:rPr>
        <w:t xml:space="preserve"> u </w:t>
      </w:r>
      <w:proofErr w:type="spellStart"/>
      <w:r w:rsidRPr="004A091D">
        <w:rPr>
          <w:rFonts w:ascii="Tahoma" w:hAnsi="Tahoma" w:cs="Tahoma"/>
          <w:lang w:val="sr-Cyrl-RS"/>
        </w:rPr>
        <w:t>okviru</w:t>
      </w:r>
      <w:proofErr w:type="spellEnd"/>
      <w:r w:rsidRPr="004A091D">
        <w:rPr>
          <w:rFonts w:ascii="Tahoma" w:hAnsi="Tahoma" w:cs="Tahoma"/>
          <w:lang w:val="sr-Cyrl-RS"/>
        </w:rPr>
        <w:t xml:space="preserve"> </w:t>
      </w:r>
      <w:proofErr w:type="spellStart"/>
      <w:r w:rsidRPr="004A091D">
        <w:rPr>
          <w:rFonts w:ascii="Tahoma" w:hAnsi="Tahoma" w:cs="Tahoma"/>
          <w:lang w:val="sr-Cyrl-RS"/>
        </w:rPr>
        <w:t>Programa</w:t>
      </w:r>
      <w:proofErr w:type="spellEnd"/>
      <w:r w:rsidRPr="004A091D">
        <w:rPr>
          <w:rFonts w:ascii="Tahoma" w:hAnsi="Tahoma" w:cs="Tahoma"/>
          <w:lang w:val="sr-Cyrl-RS"/>
        </w:rPr>
        <w:t xml:space="preserve"> EU Exchange 6</w:t>
      </w:r>
    </w:p>
    <w:p w14:paraId="73816C71" w14:textId="77777777" w:rsidR="0030102B" w:rsidRPr="00A45CA0" w:rsidRDefault="0030102B" w:rsidP="0030102B">
      <w:pPr>
        <w:pStyle w:val="ListParagraph"/>
        <w:ind w:left="795"/>
        <w:jc w:val="both"/>
        <w:rPr>
          <w:rFonts w:ascii="Tahoma" w:eastAsia="Times New Roman" w:hAnsi="Tahoma" w:cs="Tahoma"/>
          <w:b/>
          <w:bCs/>
          <w:color w:val="000000"/>
          <w:highlight w:val="yellow"/>
          <w:lang w:val="sr-Cyrl-RS"/>
        </w:rPr>
      </w:pPr>
    </w:p>
    <w:p w14:paraId="3EDE7E5A" w14:textId="78A21BDB" w:rsidR="009D30A1" w:rsidRPr="00A45CA0" w:rsidRDefault="009D30A1" w:rsidP="009D2022">
      <w:pPr>
        <w:ind w:left="540"/>
        <w:rPr>
          <w:rFonts w:ascii="Tahoma" w:hAnsi="Tahoma" w:cs="Tahoma"/>
          <w:lang w:val="sr-Cyrl-RS"/>
        </w:rPr>
      </w:pPr>
    </w:p>
    <w:p w14:paraId="7E13A69A" w14:textId="52EB6080" w:rsidR="009D30A1" w:rsidRPr="00A45CA0" w:rsidRDefault="009D30A1" w:rsidP="009D2022">
      <w:pPr>
        <w:ind w:left="540"/>
        <w:rPr>
          <w:rFonts w:ascii="Tahoma" w:hAnsi="Tahoma" w:cs="Tahoma"/>
          <w:lang w:val="sr-Latn-RS"/>
        </w:rPr>
      </w:pPr>
    </w:p>
    <w:p w14:paraId="2AE1E066" w14:textId="366A70FD" w:rsidR="009D30A1" w:rsidRPr="00A45CA0" w:rsidRDefault="009D30A1" w:rsidP="009D2022">
      <w:pPr>
        <w:ind w:left="540"/>
        <w:rPr>
          <w:rFonts w:ascii="Tahoma" w:hAnsi="Tahoma" w:cs="Tahoma"/>
          <w:lang w:val="sr-Latn-RS"/>
        </w:rPr>
      </w:pPr>
    </w:p>
    <w:p w14:paraId="2C7D5BC6" w14:textId="603687CE" w:rsidR="009D30A1" w:rsidRPr="00A45CA0" w:rsidRDefault="009D30A1" w:rsidP="009D2022">
      <w:pPr>
        <w:ind w:left="540"/>
        <w:rPr>
          <w:rFonts w:ascii="Tahoma" w:hAnsi="Tahoma" w:cs="Tahoma"/>
          <w:lang w:val="sr-Latn-RS"/>
        </w:rPr>
      </w:pPr>
    </w:p>
    <w:sectPr w:rsidR="009D30A1" w:rsidRPr="00A45CA0" w:rsidSect="00FA03DE">
      <w:headerReference w:type="default" r:id="rId13"/>
      <w:footerReference w:type="default" r:id="rId14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86AE" w14:textId="77777777" w:rsidR="00FA03DE" w:rsidRDefault="00FA03DE" w:rsidP="009F3B4A">
      <w:pPr>
        <w:spacing w:after="0" w:line="240" w:lineRule="auto"/>
      </w:pPr>
      <w:r>
        <w:separator/>
      </w:r>
    </w:p>
  </w:endnote>
  <w:endnote w:type="continuationSeparator" w:id="0">
    <w:p w14:paraId="6E7B1356" w14:textId="77777777" w:rsidR="00FA03DE" w:rsidRDefault="00FA03DE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615DF7B8" w:rsidR="0075468F" w:rsidRDefault="00C419B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41AB1782" wp14:editId="4E7D9B82">
              <wp:simplePos x="0" y="0"/>
              <wp:positionH relativeFrom="column">
                <wp:posOffset>-365760</wp:posOffset>
              </wp:positionH>
              <wp:positionV relativeFrom="paragraph">
                <wp:posOffset>-379730</wp:posOffset>
              </wp:positionV>
              <wp:extent cx="6880429" cy="57404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1870" cy="57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CA46" w14:textId="77777777" w:rsidR="00FA03DE" w:rsidRDefault="00FA03DE" w:rsidP="009F3B4A">
      <w:pPr>
        <w:spacing w:after="0" w:line="240" w:lineRule="auto"/>
      </w:pPr>
      <w:r>
        <w:separator/>
      </w:r>
    </w:p>
  </w:footnote>
  <w:footnote w:type="continuationSeparator" w:id="0">
    <w:p w14:paraId="3D7123E0" w14:textId="77777777" w:rsidR="00FA03DE" w:rsidRDefault="00FA03DE" w:rsidP="009F3B4A">
      <w:pPr>
        <w:spacing w:after="0" w:line="240" w:lineRule="auto"/>
      </w:pPr>
      <w:r>
        <w:continuationSeparator/>
      </w:r>
    </w:p>
  </w:footnote>
  <w:footnote w:id="1">
    <w:p w14:paraId="6034D12D" w14:textId="31A63581" w:rsidR="0030102B" w:rsidRPr="00197B45" w:rsidRDefault="0030102B" w:rsidP="0030102B">
      <w:pPr>
        <w:pStyle w:val="FootnoteText"/>
        <w:jc w:val="both"/>
        <w:rPr>
          <w:rFonts w:ascii="Tahoma" w:hAnsi="Tahoma" w:cs="Tahoma"/>
          <w:lang w:val="sr-Latn-RS"/>
        </w:rPr>
      </w:pPr>
      <w:r w:rsidRPr="00197B45">
        <w:rPr>
          <w:rStyle w:val="FootnoteReference"/>
        </w:rPr>
        <w:footnoteRef/>
      </w:r>
      <w:r w:rsidRPr="00F9424A">
        <w:rPr>
          <w:rFonts w:ascii="Tahoma" w:hAnsi="Tahoma" w:cs="Tahoma"/>
          <w:lang w:val="sr-Cyrl-RS"/>
        </w:rPr>
        <w:t xml:space="preserve"> </w:t>
      </w:r>
      <w:proofErr w:type="spellStart"/>
      <w:r w:rsidR="003F6241" w:rsidRPr="003F6241">
        <w:rPr>
          <w:rFonts w:ascii="Tahoma" w:hAnsi="Tahoma" w:cs="Tahoma"/>
          <w:lang w:val="sr-Cyrl-RS"/>
        </w:rPr>
        <w:t>Više</w:t>
      </w:r>
      <w:proofErr w:type="spellEnd"/>
      <w:r w:rsidR="003F6241" w:rsidRPr="003F6241">
        <w:rPr>
          <w:rFonts w:ascii="Tahoma" w:hAnsi="Tahoma" w:cs="Tahoma"/>
          <w:lang w:val="sr-Cyrl-RS"/>
        </w:rPr>
        <w:t xml:space="preserve"> </w:t>
      </w:r>
      <w:proofErr w:type="spellStart"/>
      <w:r w:rsidR="003F6241" w:rsidRPr="003F6241">
        <w:rPr>
          <w:rFonts w:ascii="Tahoma" w:hAnsi="Tahoma" w:cs="Tahoma"/>
          <w:lang w:val="sr-Cyrl-RS"/>
        </w:rPr>
        <w:t>informacija</w:t>
      </w:r>
      <w:proofErr w:type="spellEnd"/>
      <w:r w:rsidR="003F6241" w:rsidRPr="003F6241">
        <w:rPr>
          <w:rFonts w:ascii="Tahoma" w:hAnsi="Tahoma" w:cs="Tahoma"/>
          <w:lang w:val="sr-Cyrl-RS"/>
        </w:rPr>
        <w:t xml:space="preserve"> o </w:t>
      </w:r>
      <w:proofErr w:type="spellStart"/>
      <w:r w:rsidR="003F6241" w:rsidRPr="003F6241">
        <w:rPr>
          <w:rFonts w:ascii="Tahoma" w:hAnsi="Tahoma" w:cs="Tahoma"/>
          <w:lang w:val="sr-Cyrl-RS"/>
        </w:rPr>
        <w:t>Programu</w:t>
      </w:r>
      <w:proofErr w:type="spellEnd"/>
      <w:r w:rsidR="003F6241" w:rsidRPr="003F6241">
        <w:rPr>
          <w:rFonts w:ascii="Tahoma" w:hAnsi="Tahoma" w:cs="Tahoma"/>
          <w:lang w:val="sr-Cyrl-RS"/>
        </w:rPr>
        <w:t xml:space="preserve"> </w:t>
      </w:r>
      <w:proofErr w:type="spellStart"/>
      <w:r w:rsidR="003F6241" w:rsidRPr="003F6241">
        <w:rPr>
          <w:rFonts w:ascii="Tahoma" w:hAnsi="Tahoma" w:cs="Tahoma"/>
          <w:lang w:val="sr-Cyrl-RS"/>
        </w:rPr>
        <w:t>dostupno</w:t>
      </w:r>
      <w:proofErr w:type="spellEnd"/>
      <w:r w:rsidR="003F6241" w:rsidRPr="003F6241">
        <w:rPr>
          <w:rFonts w:ascii="Tahoma" w:hAnsi="Tahoma" w:cs="Tahoma"/>
          <w:lang w:val="sr-Cyrl-RS"/>
        </w:rPr>
        <w:t xml:space="preserve"> </w:t>
      </w:r>
      <w:proofErr w:type="spellStart"/>
      <w:r w:rsidR="003F6241" w:rsidRPr="003F6241">
        <w:rPr>
          <w:rFonts w:ascii="Tahoma" w:hAnsi="Tahoma" w:cs="Tahoma"/>
          <w:lang w:val="sr-Cyrl-RS"/>
        </w:rPr>
        <w:t>na</w:t>
      </w:r>
      <w:proofErr w:type="spellEnd"/>
      <w:r w:rsidRPr="00197B45">
        <w:rPr>
          <w:rFonts w:ascii="Tahoma" w:hAnsi="Tahoma" w:cs="Tahoma"/>
          <w:lang w:val="sr-Latn-RS"/>
        </w:rPr>
        <w:t xml:space="preserve">: </w:t>
      </w:r>
      <w:hyperlink r:id="rId1" w:history="1">
        <w:r w:rsidRPr="00197B45">
          <w:rPr>
            <w:rStyle w:val="Hyperlink"/>
            <w:rFonts w:ascii="Tahoma" w:hAnsi="Tahoma" w:cs="Tahoma"/>
            <w:lang w:val="sr-Latn-RS"/>
          </w:rPr>
          <w:t>http://www.skgo.org/projekti/detaljno/63/eu-exchange-6</w:t>
        </w:r>
      </w:hyperlink>
      <w:r w:rsidRPr="00197B45">
        <w:rPr>
          <w:rFonts w:ascii="Tahoma" w:hAnsi="Tahoma" w:cs="Tahoma"/>
          <w:lang w:val="sr-Latn-RS"/>
        </w:rPr>
        <w:t xml:space="preserve">. </w:t>
      </w:r>
    </w:p>
  </w:footnote>
  <w:footnote w:id="2">
    <w:p w14:paraId="6BA86346" w14:textId="1209F125" w:rsidR="00600F06" w:rsidRPr="008C77A8" w:rsidRDefault="00600F06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8C77A8">
        <w:rPr>
          <w:lang w:val="sr-Latn-RS"/>
        </w:rPr>
        <w:t xml:space="preserve"> </w:t>
      </w:r>
      <w:r w:rsidRPr="008C77A8">
        <w:rPr>
          <w:lang w:val="sr-Latn-RS"/>
        </w:rPr>
        <w:t xml:space="preserve">Smernice za izradu planova razvoja JLS, objavljene od strane Republičkog sekretarijata za javne politike: </w:t>
      </w:r>
      <w:hyperlink r:id="rId2" w:history="1">
        <w:r w:rsidRPr="008C77A8">
          <w:rPr>
            <w:rStyle w:val="Hyperlink"/>
            <w:lang w:val="sr-Latn-RS"/>
          </w:rPr>
          <w:t>https://rsjp.gov.rs/wp-content/uploads/Prirucnik-za-lokalnu-samoupravu-web_final-19.8.pdf</w:t>
        </w:r>
      </w:hyperlink>
      <w:r w:rsidRPr="008C77A8">
        <w:rPr>
          <w:lang w:val="sr-Latn-RS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3C64A495" w:rsidR="009F3B4A" w:rsidRDefault="00597E4F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0D530175" wp14:editId="5AA4EF8A">
          <wp:simplePos x="0" y="0"/>
          <wp:positionH relativeFrom="column">
            <wp:posOffset>-325507</wp:posOffset>
          </wp:positionH>
          <wp:positionV relativeFrom="paragraph">
            <wp:posOffset>-179070</wp:posOffset>
          </wp:positionV>
          <wp:extent cx="1270828" cy="580257"/>
          <wp:effectExtent l="0" t="0" r="571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28" cy="58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72A">
      <w:rPr>
        <w:noProof/>
      </w:rPr>
      <w:drawing>
        <wp:anchor distT="0" distB="0" distL="114300" distR="114300" simplePos="0" relativeHeight="251672576" behindDoc="0" locked="0" layoutInCell="1" allowOverlap="1" wp14:anchorId="799032E3" wp14:editId="5F97438B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3744494B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 w:rsidR="00787A53"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 w:rsidR="00787A53"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DE11A02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B142D6C"/>
    <w:multiLevelType w:val="multilevel"/>
    <w:tmpl w:val="640A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D3B34"/>
    <w:multiLevelType w:val="hybridMultilevel"/>
    <w:tmpl w:val="6B54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A183A08"/>
    <w:multiLevelType w:val="multilevel"/>
    <w:tmpl w:val="036ED4E8"/>
    <w:lvl w:ilvl="0">
      <w:start w:val="1"/>
      <w:numFmt w:val="decimal"/>
      <w:pStyle w:val="Heading1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520"/>
      </w:pPr>
      <w:rPr>
        <w:rFonts w:hint="default"/>
      </w:rPr>
    </w:lvl>
  </w:abstractNum>
  <w:abstractNum w:abstractNumId="5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96727B"/>
    <w:multiLevelType w:val="hybridMultilevel"/>
    <w:tmpl w:val="2DBE1716"/>
    <w:lvl w:ilvl="0" w:tplc="25E047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26E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365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BFAB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60B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64E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9C8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4ED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20A7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4894657">
    <w:abstractNumId w:val="3"/>
  </w:num>
  <w:num w:numId="2" w16cid:durableId="841437141">
    <w:abstractNumId w:val="0"/>
  </w:num>
  <w:num w:numId="3" w16cid:durableId="1823808738">
    <w:abstractNumId w:val="6"/>
  </w:num>
  <w:num w:numId="4" w16cid:durableId="1910192611">
    <w:abstractNumId w:val="5"/>
  </w:num>
  <w:num w:numId="5" w16cid:durableId="2137214817">
    <w:abstractNumId w:val="2"/>
  </w:num>
  <w:num w:numId="6" w16cid:durableId="392044057">
    <w:abstractNumId w:val="7"/>
  </w:num>
  <w:num w:numId="7" w16cid:durableId="1130246502">
    <w:abstractNumId w:val="4"/>
  </w:num>
  <w:num w:numId="8" w16cid:durableId="1904176102">
    <w:abstractNumId w:val="8"/>
  </w:num>
  <w:num w:numId="9" w16cid:durableId="1490712614">
    <w:abstractNumId w:val="9"/>
  </w:num>
  <w:num w:numId="10" w16cid:durableId="110345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5B41"/>
    <w:rsid w:val="00010230"/>
    <w:rsid w:val="000107FA"/>
    <w:rsid w:val="00012D88"/>
    <w:rsid w:val="00015BE7"/>
    <w:rsid w:val="00016726"/>
    <w:rsid w:val="0002363C"/>
    <w:rsid w:val="00023DF7"/>
    <w:rsid w:val="00033BCA"/>
    <w:rsid w:val="000347F2"/>
    <w:rsid w:val="0003751F"/>
    <w:rsid w:val="00037DCC"/>
    <w:rsid w:val="000412A6"/>
    <w:rsid w:val="00044E03"/>
    <w:rsid w:val="00045ACE"/>
    <w:rsid w:val="00050C58"/>
    <w:rsid w:val="00051FBD"/>
    <w:rsid w:val="0005480C"/>
    <w:rsid w:val="00055670"/>
    <w:rsid w:val="000562A5"/>
    <w:rsid w:val="00061464"/>
    <w:rsid w:val="00061779"/>
    <w:rsid w:val="00062304"/>
    <w:rsid w:val="00064A57"/>
    <w:rsid w:val="00071C3A"/>
    <w:rsid w:val="000721B6"/>
    <w:rsid w:val="00075A3C"/>
    <w:rsid w:val="000770F3"/>
    <w:rsid w:val="00082F02"/>
    <w:rsid w:val="00092D3C"/>
    <w:rsid w:val="00093B6E"/>
    <w:rsid w:val="000A3D73"/>
    <w:rsid w:val="000A59A4"/>
    <w:rsid w:val="000B2CBD"/>
    <w:rsid w:val="000D1541"/>
    <w:rsid w:val="000E535C"/>
    <w:rsid w:val="000E7183"/>
    <w:rsid w:val="000F1CE0"/>
    <w:rsid w:val="000F77E8"/>
    <w:rsid w:val="001250EF"/>
    <w:rsid w:val="0012709A"/>
    <w:rsid w:val="001329EC"/>
    <w:rsid w:val="00143E3B"/>
    <w:rsid w:val="001529FA"/>
    <w:rsid w:val="0015312D"/>
    <w:rsid w:val="00154A0B"/>
    <w:rsid w:val="001552A3"/>
    <w:rsid w:val="00160C2C"/>
    <w:rsid w:val="0016195E"/>
    <w:rsid w:val="001633D7"/>
    <w:rsid w:val="0017427D"/>
    <w:rsid w:val="00180C72"/>
    <w:rsid w:val="00185720"/>
    <w:rsid w:val="00186EB0"/>
    <w:rsid w:val="00193D37"/>
    <w:rsid w:val="00196277"/>
    <w:rsid w:val="001A387A"/>
    <w:rsid w:val="001A6CC4"/>
    <w:rsid w:val="001A7BD5"/>
    <w:rsid w:val="001B3526"/>
    <w:rsid w:val="001C00EE"/>
    <w:rsid w:val="001C61D8"/>
    <w:rsid w:val="001D099E"/>
    <w:rsid w:val="001E2641"/>
    <w:rsid w:val="001F44C0"/>
    <w:rsid w:val="001F75AB"/>
    <w:rsid w:val="002152ED"/>
    <w:rsid w:val="00217818"/>
    <w:rsid w:val="00220800"/>
    <w:rsid w:val="00220898"/>
    <w:rsid w:val="00223458"/>
    <w:rsid w:val="002247E6"/>
    <w:rsid w:val="00224977"/>
    <w:rsid w:val="00232785"/>
    <w:rsid w:val="00233A7D"/>
    <w:rsid w:val="00240A16"/>
    <w:rsid w:val="00243AB0"/>
    <w:rsid w:val="002507B4"/>
    <w:rsid w:val="00253638"/>
    <w:rsid w:val="002539BE"/>
    <w:rsid w:val="002649E8"/>
    <w:rsid w:val="00265E9A"/>
    <w:rsid w:val="00267F90"/>
    <w:rsid w:val="00272DBB"/>
    <w:rsid w:val="00274BC7"/>
    <w:rsid w:val="00276393"/>
    <w:rsid w:val="00282902"/>
    <w:rsid w:val="002842A7"/>
    <w:rsid w:val="00285DE1"/>
    <w:rsid w:val="0028768F"/>
    <w:rsid w:val="00293FDA"/>
    <w:rsid w:val="002970E2"/>
    <w:rsid w:val="002A7C83"/>
    <w:rsid w:val="002C2B77"/>
    <w:rsid w:val="002C600E"/>
    <w:rsid w:val="002C70B1"/>
    <w:rsid w:val="002E38CC"/>
    <w:rsid w:val="002E6289"/>
    <w:rsid w:val="002F2D23"/>
    <w:rsid w:val="002F405D"/>
    <w:rsid w:val="0030102B"/>
    <w:rsid w:val="003044E4"/>
    <w:rsid w:val="00305472"/>
    <w:rsid w:val="003063D9"/>
    <w:rsid w:val="00314451"/>
    <w:rsid w:val="00316630"/>
    <w:rsid w:val="003214D3"/>
    <w:rsid w:val="00323FF5"/>
    <w:rsid w:val="00325EA7"/>
    <w:rsid w:val="003303B0"/>
    <w:rsid w:val="00331371"/>
    <w:rsid w:val="00331D98"/>
    <w:rsid w:val="003341D6"/>
    <w:rsid w:val="00335E28"/>
    <w:rsid w:val="0034088C"/>
    <w:rsid w:val="00341823"/>
    <w:rsid w:val="0034794D"/>
    <w:rsid w:val="00351DC7"/>
    <w:rsid w:val="00360A52"/>
    <w:rsid w:val="00397FCD"/>
    <w:rsid w:val="003B16BE"/>
    <w:rsid w:val="003B1D48"/>
    <w:rsid w:val="003B3C37"/>
    <w:rsid w:val="003C5716"/>
    <w:rsid w:val="003D0638"/>
    <w:rsid w:val="003D0983"/>
    <w:rsid w:val="003D15C7"/>
    <w:rsid w:val="003D456B"/>
    <w:rsid w:val="003E3D49"/>
    <w:rsid w:val="003F1C05"/>
    <w:rsid w:val="003F54B4"/>
    <w:rsid w:val="003F6241"/>
    <w:rsid w:val="003F6F84"/>
    <w:rsid w:val="003F7EF1"/>
    <w:rsid w:val="00406823"/>
    <w:rsid w:val="00411D58"/>
    <w:rsid w:val="00415D31"/>
    <w:rsid w:val="00427D43"/>
    <w:rsid w:val="00433204"/>
    <w:rsid w:val="00434FDA"/>
    <w:rsid w:val="00437E99"/>
    <w:rsid w:val="00440A7D"/>
    <w:rsid w:val="00444519"/>
    <w:rsid w:val="00445DE1"/>
    <w:rsid w:val="00455DAA"/>
    <w:rsid w:val="00467CA1"/>
    <w:rsid w:val="00470729"/>
    <w:rsid w:val="004734F9"/>
    <w:rsid w:val="00480240"/>
    <w:rsid w:val="00481981"/>
    <w:rsid w:val="00483750"/>
    <w:rsid w:val="004905D0"/>
    <w:rsid w:val="00491074"/>
    <w:rsid w:val="004A091D"/>
    <w:rsid w:val="004A161E"/>
    <w:rsid w:val="004A2268"/>
    <w:rsid w:val="004A53D6"/>
    <w:rsid w:val="004B00A5"/>
    <w:rsid w:val="004B1E17"/>
    <w:rsid w:val="004B7969"/>
    <w:rsid w:val="004C3DD8"/>
    <w:rsid w:val="004D4ED3"/>
    <w:rsid w:val="004E1A42"/>
    <w:rsid w:val="004E2814"/>
    <w:rsid w:val="004E4000"/>
    <w:rsid w:val="004F00BB"/>
    <w:rsid w:val="00501B48"/>
    <w:rsid w:val="00504219"/>
    <w:rsid w:val="005112C9"/>
    <w:rsid w:val="005317AF"/>
    <w:rsid w:val="00545057"/>
    <w:rsid w:val="005451DE"/>
    <w:rsid w:val="00551115"/>
    <w:rsid w:val="005524C1"/>
    <w:rsid w:val="00554E45"/>
    <w:rsid w:val="00557E7D"/>
    <w:rsid w:val="00560D41"/>
    <w:rsid w:val="005639B7"/>
    <w:rsid w:val="00567E99"/>
    <w:rsid w:val="00576DC4"/>
    <w:rsid w:val="00582911"/>
    <w:rsid w:val="005869F7"/>
    <w:rsid w:val="00590416"/>
    <w:rsid w:val="0059616B"/>
    <w:rsid w:val="00597E4F"/>
    <w:rsid w:val="005A584A"/>
    <w:rsid w:val="005C4598"/>
    <w:rsid w:val="005E70C6"/>
    <w:rsid w:val="005E7316"/>
    <w:rsid w:val="005F15C6"/>
    <w:rsid w:val="005F20BE"/>
    <w:rsid w:val="005F24BE"/>
    <w:rsid w:val="005F79B8"/>
    <w:rsid w:val="00600F06"/>
    <w:rsid w:val="006066E1"/>
    <w:rsid w:val="006154AA"/>
    <w:rsid w:val="00624296"/>
    <w:rsid w:val="00626CC4"/>
    <w:rsid w:val="0063142F"/>
    <w:rsid w:val="00631481"/>
    <w:rsid w:val="00632DE7"/>
    <w:rsid w:val="00635F7B"/>
    <w:rsid w:val="0064035D"/>
    <w:rsid w:val="00645C6F"/>
    <w:rsid w:val="00647042"/>
    <w:rsid w:val="00655D61"/>
    <w:rsid w:val="00662EF6"/>
    <w:rsid w:val="006711BB"/>
    <w:rsid w:val="00672FBC"/>
    <w:rsid w:val="00687787"/>
    <w:rsid w:val="00692454"/>
    <w:rsid w:val="00694A3B"/>
    <w:rsid w:val="00696A2B"/>
    <w:rsid w:val="006A2450"/>
    <w:rsid w:val="006A364E"/>
    <w:rsid w:val="006A3B00"/>
    <w:rsid w:val="006B7434"/>
    <w:rsid w:val="006C0F36"/>
    <w:rsid w:val="006C22B4"/>
    <w:rsid w:val="006C37BB"/>
    <w:rsid w:val="006D44C7"/>
    <w:rsid w:val="006D639E"/>
    <w:rsid w:val="006F106C"/>
    <w:rsid w:val="006F50EA"/>
    <w:rsid w:val="006F5830"/>
    <w:rsid w:val="007044CE"/>
    <w:rsid w:val="007118CB"/>
    <w:rsid w:val="00713390"/>
    <w:rsid w:val="00722441"/>
    <w:rsid w:val="00736FC7"/>
    <w:rsid w:val="00737CF4"/>
    <w:rsid w:val="00743A53"/>
    <w:rsid w:val="00745F30"/>
    <w:rsid w:val="007511CA"/>
    <w:rsid w:val="0075300D"/>
    <w:rsid w:val="0075468F"/>
    <w:rsid w:val="00760A79"/>
    <w:rsid w:val="0076225D"/>
    <w:rsid w:val="0077236A"/>
    <w:rsid w:val="00776607"/>
    <w:rsid w:val="00787A53"/>
    <w:rsid w:val="0079057F"/>
    <w:rsid w:val="007A244F"/>
    <w:rsid w:val="007A2E0D"/>
    <w:rsid w:val="007A4871"/>
    <w:rsid w:val="007A70EC"/>
    <w:rsid w:val="007C331B"/>
    <w:rsid w:val="007D1807"/>
    <w:rsid w:val="007D38F2"/>
    <w:rsid w:val="007D7C9D"/>
    <w:rsid w:val="007E3617"/>
    <w:rsid w:val="007F37E2"/>
    <w:rsid w:val="007F5687"/>
    <w:rsid w:val="00804FD8"/>
    <w:rsid w:val="0081481E"/>
    <w:rsid w:val="0081682E"/>
    <w:rsid w:val="008179EE"/>
    <w:rsid w:val="00824F9B"/>
    <w:rsid w:val="00830DE0"/>
    <w:rsid w:val="0084487A"/>
    <w:rsid w:val="00846483"/>
    <w:rsid w:val="00850D57"/>
    <w:rsid w:val="008533AF"/>
    <w:rsid w:val="00854FF7"/>
    <w:rsid w:val="008557DF"/>
    <w:rsid w:val="00861503"/>
    <w:rsid w:val="00863C92"/>
    <w:rsid w:val="00870772"/>
    <w:rsid w:val="0087290D"/>
    <w:rsid w:val="00874DDB"/>
    <w:rsid w:val="00877B7C"/>
    <w:rsid w:val="00877E93"/>
    <w:rsid w:val="00881470"/>
    <w:rsid w:val="00885951"/>
    <w:rsid w:val="008951FB"/>
    <w:rsid w:val="008C27BD"/>
    <w:rsid w:val="008C686D"/>
    <w:rsid w:val="008C77A8"/>
    <w:rsid w:val="008C78A6"/>
    <w:rsid w:val="008D1EAC"/>
    <w:rsid w:val="008D5F01"/>
    <w:rsid w:val="008F3CEA"/>
    <w:rsid w:val="0091147F"/>
    <w:rsid w:val="00917028"/>
    <w:rsid w:val="009218D3"/>
    <w:rsid w:val="00922B4A"/>
    <w:rsid w:val="00923083"/>
    <w:rsid w:val="00931102"/>
    <w:rsid w:val="00931C19"/>
    <w:rsid w:val="00933365"/>
    <w:rsid w:val="009339BB"/>
    <w:rsid w:val="00936EA5"/>
    <w:rsid w:val="0094572A"/>
    <w:rsid w:val="00945E63"/>
    <w:rsid w:val="009502E5"/>
    <w:rsid w:val="009545DB"/>
    <w:rsid w:val="00955319"/>
    <w:rsid w:val="0095587F"/>
    <w:rsid w:val="00956CCB"/>
    <w:rsid w:val="00965DCE"/>
    <w:rsid w:val="009873B8"/>
    <w:rsid w:val="00990951"/>
    <w:rsid w:val="009A1B3F"/>
    <w:rsid w:val="009B2CD1"/>
    <w:rsid w:val="009C004B"/>
    <w:rsid w:val="009C6B96"/>
    <w:rsid w:val="009D2022"/>
    <w:rsid w:val="009D30A1"/>
    <w:rsid w:val="009E26DA"/>
    <w:rsid w:val="009E3DC7"/>
    <w:rsid w:val="009E52EB"/>
    <w:rsid w:val="009F26E2"/>
    <w:rsid w:val="009F3B4A"/>
    <w:rsid w:val="009F7FCA"/>
    <w:rsid w:val="00A03D02"/>
    <w:rsid w:val="00A11E8F"/>
    <w:rsid w:val="00A14C29"/>
    <w:rsid w:val="00A2319D"/>
    <w:rsid w:val="00A43479"/>
    <w:rsid w:val="00A438BA"/>
    <w:rsid w:val="00A4447B"/>
    <w:rsid w:val="00A45B00"/>
    <w:rsid w:val="00A45CA0"/>
    <w:rsid w:val="00A475B9"/>
    <w:rsid w:val="00A50184"/>
    <w:rsid w:val="00A50372"/>
    <w:rsid w:val="00A50DAE"/>
    <w:rsid w:val="00A64373"/>
    <w:rsid w:val="00A65FA9"/>
    <w:rsid w:val="00A710F5"/>
    <w:rsid w:val="00A77CE3"/>
    <w:rsid w:val="00A80E1B"/>
    <w:rsid w:val="00A8258D"/>
    <w:rsid w:val="00A929C3"/>
    <w:rsid w:val="00A93F2B"/>
    <w:rsid w:val="00A978E1"/>
    <w:rsid w:val="00AA52CF"/>
    <w:rsid w:val="00AA5832"/>
    <w:rsid w:val="00AA5AD0"/>
    <w:rsid w:val="00AB3A14"/>
    <w:rsid w:val="00AC04DC"/>
    <w:rsid w:val="00AC0D35"/>
    <w:rsid w:val="00AC623D"/>
    <w:rsid w:val="00AC7D1D"/>
    <w:rsid w:val="00AE2754"/>
    <w:rsid w:val="00B11235"/>
    <w:rsid w:val="00B16A1C"/>
    <w:rsid w:val="00B17F15"/>
    <w:rsid w:val="00B235AA"/>
    <w:rsid w:val="00B25F3A"/>
    <w:rsid w:val="00B303AA"/>
    <w:rsid w:val="00B3219C"/>
    <w:rsid w:val="00B36697"/>
    <w:rsid w:val="00B437C7"/>
    <w:rsid w:val="00B65CF9"/>
    <w:rsid w:val="00B671BB"/>
    <w:rsid w:val="00B71FDB"/>
    <w:rsid w:val="00B72D08"/>
    <w:rsid w:val="00B810B4"/>
    <w:rsid w:val="00B81A5B"/>
    <w:rsid w:val="00B856A5"/>
    <w:rsid w:val="00BA0C85"/>
    <w:rsid w:val="00BA307A"/>
    <w:rsid w:val="00BC0925"/>
    <w:rsid w:val="00BD6F1E"/>
    <w:rsid w:val="00BE0EA4"/>
    <w:rsid w:val="00BE21E7"/>
    <w:rsid w:val="00BE3C48"/>
    <w:rsid w:val="00BE3FB6"/>
    <w:rsid w:val="00BE77BE"/>
    <w:rsid w:val="00BF49BB"/>
    <w:rsid w:val="00C0237D"/>
    <w:rsid w:val="00C07124"/>
    <w:rsid w:val="00C0787A"/>
    <w:rsid w:val="00C079A1"/>
    <w:rsid w:val="00C1538C"/>
    <w:rsid w:val="00C176DD"/>
    <w:rsid w:val="00C237DF"/>
    <w:rsid w:val="00C25136"/>
    <w:rsid w:val="00C33DF7"/>
    <w:rsid w:val="00C35189"/>
    <w:rsid w:val="00C376C1"/>
    <w:rsid w:val="00C4048E"/>
    <w:rsid w:val="00C409F8"/>
    <w:rsid w:val="00C419B8"/>
    <w:rsid w:val="00C50E4C"/>
    <w:rsid w:val="00C518F5"/>
    <w:rsid w:val="00C652D0"/>
    <w:rsid w:val="00C6665E"/>
    <w:rsid w:val="00C71D58"/>
    <w:rsid w:val="00C73D99"/>
    <w:rsid w:val="00C76699"/>
    <w:rsid w:val="00C8375A"/>
    <w:rsid w:val="00C910A4"/>
    <w:rsid w:val="00C93E9A"/>
    <w:rsid w:val="00CA10EA"/>
    <w:rsid w:val="00CA4E30"/>
    <w:rsid w:val="00CC0463"/>
    <w:rsid w:val="00CC53C9"/>
    <w:rsid w:val="00CC6B20"/>
    <w:rsid w:val="00CC6DAE"/>
    <w:rsid w:val="00CC799D"/>
    <w:rsid w:val="00CD076E"/>
    <w:rsid w:val="00CD1436"/>
    <w:rsid w:val="00CD76C6"/>
    <w:rsid w:val="00CD7E84"/>
    <w:rsid w:val="00CF44E1"/>
    <w:rsid w:val="00CF7E9C"/>
    <w:rsid w:val="00D131EE"/>
    <w:rsid w:val="00D2250B"/>
    <w:rsid w:val="00D227F1"/>
    <w:rsid w:val="00D22B41"/>
    <w:rsid w:val="00D26A59"/>
    <w:rsid w:val="00D43059"/>
    <w:rsid w:val="00D43708"/>
    <w:rsid w:val="00D55643"/>
    <w:rsid w:val="00D60FA7"/>
    <w:rsid w:val="00D73D17"/>
    <w:rsid w:val="00D80682"/>
    <w:rsid w:val="00D813DE"/>
    <w:rsid w:val="00D83B22"/>
    <w:rsid w:val="00D9064B"/>
    <w:rsid w:val="00D94123"/>
    <w:rsid w:val="00DA2E27"/>
    <w:rsid w:val="00DA696B"/>
    <w:rsid w:val="00DA7577"/>
    <w:rsid w:val="00DB7B5B"/>
    <w:rsid w:val="00DC5BD2"/>
    <w:rsid w:val="00DD03F6"/>
    <w:rsid w:val="00DD17E3"/>
    <w:rsid w:val="00DD1F64"/>
    <w:rsid w:val="00DD2476"/>
    <w:rsid w:val="00DE209A"/>
    <w:rsid w:val="00DF0BDC"/>
    <w:rsid w:val="00DF0E37"/>
    <w:rsid w:val="00DF6E6E"/>
    <w:rsid w:val="00E03ACA"/>
    <w:rsid w:val="00E12651"/>
    <w:rsid w:val="00E13A3D"/>
    <w:rsid w:val="00E16250"/>
    <w:rsid w:val="00E16626"/>
    <w:rsid w:val="00E21414"/>
    <w:rsid w:val="00E25E7C"/>
    <w:rsid w:val="00E26146"/>
    <w:rsid w:val="00E32300"/>
    <w:rsid w:val="00E416B5"/>
    <w:rsid w:val="00E41E5B"/>
    <w:rsid w:val="00E42F15"/>
    <w:rsid w:val="00E432D6"/>
    <w:rsid w:val="00E46845"/>
    <w:rsid w:val="00E468FF"/>
    <w:rsid w:val="00E518DC"/>
    <w:rsid w:val="00E603C6"/>
    <w:rsid w:val="00E71D7E"/>
    <w:rsid w:val="00E7218F"/>
    <w:rsid w:val="00E80930"/>
    <w:rsid w:val="00E82D60"/>
    <w:rsid w:val="00E92ED3"/>
    <w:rsid w:val="00E94439"/>
    <w:rsid w:val="00EA182D"/>
    <w:rsid w:val="00EA1A63"/>
    <w:rsid w:val="00EA4D9D"/>
    <w:rsid w:val="00EA562F"/>
    <w:rsid w:val="00EB22B6"/>
    <w:rsid w:val="00EB4101"/>
    <w:rsid w:val="00EB55CC"/>
    <w:rsid w:val="00EB5EF3"/>
    <w:rsid w:val="00EB6E37"/>
    <w:rsid w:val="00EE0A93"/>
    <w:rsid w:val="00EE3933"/>
    <w:rsid w:val="00F01256"/>
    <w:rsid w:val="00F02BAC"/>
    <w:rsid w:val="00F052A9"/>
    <w:rsid w:val="00F138C4"/>
    <w:rsid w:val="00F17579"/>
    <w:rsid w:val="00F3470A"/>
    <w:rsid w:val="00F36D1E"/>
    <w:rsid w:val="00F415C7"/>
    <w:rsid w:val="00F418C0"/>
    <w:rsid w:val="00F44202"/>
    <w:rsid w:val="00F54FA3"/>
    <w:rsid w:val="00F556E5"/>
    <w:rsid w:val="00F7164A"/>
    <w:rsid w:val="00F800DE"/>
    <w:rsid w:val="00F80945"/>
    <w:rsid w:val="00F8370E"/>
    <w:rsid w:val="00F839BB"/>
    <w:rsid w:val="00F85099"/>
    <w:rsid w:val="00F87B54"/>
    <w:rsid w:val="00F979A4"/>
    <w:rsid w:val="00FA03DE"/>
    <w:rsid w:val="00FB10FA"/>
    <w:rsid w:val="00FC3E46"/>
    <w:rsid w:val="00FC7DE0"/>
    <w:rsid w:val="00FD73E3"/>
    <w:rsid w:val="00FD76D3"/>
    <w:rsid w:val="00FF61D2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C35189"/>
    <w:pPr>
      <w:keepNext/>
      <w:keepLines/>
      <w:numPr>
        <w:numId w:val="7"/>
      </w:numPr>
      <w:tabs>
        <w:tab w:val="left" w:pos="900"/>
      </w:tabs>
      <w:spacing w:before="240" w:after="240"/>
      <w:ind w:right="187"/>
      <w:jc w:val="both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2F405D"/>
    <w:pPr>
      <w:keepNext/>
      <w:keepLines/>
      <w:spacing w:before="360" w:after="240" w:line="264" w:lineRule="auto"/>
      <w:ind w:right="187"/>
      <w:jc w:val="both"/>
      <w:outlineLvl w:val="1"/>
    </w:pPr>
    <w:rPr>
      <w:rFonts w:ascii="Tahoma" w:eastAsia="Times New Roman" w:hAnsi="Tahoma" w:cs="Tahoma"/>
      <w:b/>
      <w:noProof/>
      <w:color w:val="00000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C35189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2F405D"/>
    <w:rPr>
      <w:rFonts w:ascii="Tahoma" w:eastAsia="Times New Roman" w:hAnsi="Tahoma" w:cs="Tahoma"/>
      <w:b/>
      <w:noProof/>
      <w:color w:val="000000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30102B"/>
    <w:pPr>
      <w:ind w:left="720"/>
      <w:contextualSpacing/>
    </w:pPr>
  </w:style>
  <w:style w:type="character" w:styleId="FootnoteReference">
    <w:name w:val="footnote reference"/>
    <w:uiPriority w:val="99"/>
    <w:rsid w:val="0030102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0102B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2250B"/>
    <w:pPr>
      <w:tabs>
        <w:tab w:val="left" w:pos="440"/>
        <w:tab w:val="right" w:leader="dot" w:pos="9016"/>
      </w:tabs>
      <w:spacing w:after="100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C35189"/>
    <w:pPr>
      <w:tabs>
        <w:tab w:val="right" w:leader="dot" w:pos="9016"/>
      </w:tabs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2B"/>
  </w:style>
  <w:style w:type="paragraph" w:customStyle="1" w:styleId="basic-paragraph">
    <w:name w:val="basic-paragraph"/>
    <w:basedOn w:val="Normal"/>
    <w:rsid w:val="0030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02B"/>
    <w:rPr>
      <w:sz w:val="22"/>
      <w:szCs w:val="22"/>
    </w:rPr>
  </w:style>
  <w:style w:type="character" w:customStyle="1" w:styleId="cf01">
    <w:name w:val="cf01"/>
    <w:basedOn w:val="DefaultParagraphFont"/>
    <w:rsid w:val="00427D43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CD7E84"/>
    <w:rPr>
      <w:sz w:val="22"/>
      <w:szCs w:val="22"/>
    </w:rPr>
  </w:style>
  <w:style w:type="paragraph" w:customStyle="1" w:styleId="pf1">
    <w:name w:val="pf1"/>
    <w:basedOn w:val="Normal"/>
    <w:rsid w:val="00640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Normal"/>
    <w:rsid w:val="00640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11">
    <w:name w:val="cf11"/>
    <w:basedOn w:val="DefaultParagraphFont"/>
    <w:rsid w:val="0064035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6403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.talijan@skg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skgo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sjp.gov.rs/wp-content/uploads/Prirucnik-za-lokalnu-samoupravu-web_final-19.8.pdf" TargetMode="External"/><Relationship Id="rId1" Type="http://schemas.openxmlformats.org/officeDocument/2006/relationships/hyperlink" Target="http://www.skgo.org/projekti/detaljno/63/eu-exchange-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  <Comment xmlns="934e4f6f-c740-4e49-838d-10594e3f87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20" ma:contentTypeDescription="Kreiraj novi dokument." ma:contentTypeScope="" ma:versionID="f237ad0126e6872e3a9eb84fbe6a0624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83b703c08b6f3fc9e7a9b85f9ed6383b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08318-4370-4D69-A49F-7775520CD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45AA0-F710-4E3C-B5C6-9788FF7566C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92846F6C-FC3B-41DE-959F-B428C90C5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D6B8B-0D88-404E-AB2C-2ADD07784E4D}"/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233</TotalTime>
  <Pages>9</Pages>
  <Words>2594</Words>
  <Characters>14788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Sara Talijan</cp:lastModifiedBy>
  <cp:revision>178</cp:revision>
  <cp:lastPrinted>2019-08-28T07:25:00Z</cp:lastPrinted>
  <dcterms:created xsi:type="dcterms:W3CDTF">2024-04-05T07:18:00Z</dcterms:created>
  <dcterms:modified xsi:type="dcterms:W3CDTF">2024-04-24T07:20:00Z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