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9FE" w:rsidRPr="005E40A4" w:rsidRDefault="003222D4">
      <w:pPr>
        <w:spacing w:after="150"/>
        <w:rPr>
          <w:lang w:val="sr-Cyrl-RS"/>
        </w:rPr>
      </w:pPr>
      <w:r w:rsidRPr="005E40A4">
        <w:rPr>
          <w:color w:val="000000"/>
          <w:lang w:val="sr-Cyrl-RS"/>
        </w:rPr>
        <w:t xml:space="preserve">Преузето са </w:t>
      </w:r>
      <w:hyperlink r:id="rId4">
        <w:r w:rsidRPr="005E40A4">
          <w:rPr>
            <w:rStyle w:val="Hyperlink"/>
            <w:color w:val="337AB7"/>
            <w:lang w:val="sr-Cyrl-RS"/>
          </w:rPr>
          <w:t>www.pravno-informacioni-sistem.rs</w:t>
        </w:r>
      </w:hyperlink>
    </w:p>
    <w:p w:rsidR="00C609FE" w:rsidRPr="005E40A4" w:rsidRDefault="003222D4">
      <w:pPr>
        <w:spacing w:after="150"/>
        <w:jc w:val="center"/>
        <w:rPr>
          <w:lang w:val="sr-Cyrl-RS"/>
        </w:rPr>
      </w:pPr>
      <w:r w:rsidRPr="005E40A4">
        <w:rPr>
          <w:b/>
          <w:color w:val="000000"/>
          <w:lang w:val="sr-Cyrl-RS"/>
        </w:rPr>
        <w:t>830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t>На основу члана 104. став 3. Закона о основама система образовања и васпитања („Службени гласник РС”, број 88/17) и члана 42. став 1. Закона о Влади („Службени гласник РС”, бр. 55/05, 71/05 – исправка, 101/07, 65/08, 16/11, 68/12 – УС, 72/12, 7/14 – УС и 44/14),</w:t>
      </w:r>
    </w:p>
    <w:p w:rsidR="00C609FE" w:rsidRPr="005E40A4" w:rsidRDefault="003222D4">
      <w:pPr>
        <w:spacing w:after="150"/>
        <w:rPr>
          <w:lang w:val="sr-Cyrl-RS"/>
        </w:rPr>
      </w:pPr>
      <w:r w:rsidRPr="005E40A4">
        <w:rPr>
          <w:color w:val="000000"/>
          <w:lang w:val="sr-Cyrl-RS"/>
        </w:rPr>
        <w:t>Влада доноси</w:t>
      </w:r>
    </w:p>
    <w:p w:rsidR="00C609FE" w:rsidRPr="005E40A4" w:rsidRDefault="003222D4">
      <w:pPr>
        <w:spacing w:after="225"/>
        <w:jc w:val="center"/>
        <w:rPr>
          <w:lang w:val="sr-Cyrl-RS"/>
        </w:rPr>
      </w:pPr>
      <w:r w:rsidRPr="005E40A4">
        <w:rPr>
          <w:b/>
          <w:color w:val="000000"/>
          <w:lang w:val="sr-Cyrl-RS"/>
        </w:rPr>
        <w:t>УРЕДБУ</w:t>
      </w:r>
    </w:p>
    <w:p w:rsidR="00C609FE" w:rsidRPr="005E40A4" w:rsidRDefault="003222D4">
      <w:pPr>
        <w:spacing w:after="150"/>
        <w:jc w:val="center"/>
        <w:rPr>
          <w:lang w:val="sr-Cyrl-RS"/>
        </w:rPr>
      </w:pPr>
      <w:r w:rsidRPr="005E40A4">
        <w:rPr>
          <w:b/>
          <w:color w:val="000000"/>
          <w:lang w:val="sr-Cyrl-RS"/>
        </w:rPr>
        <w:t>о критеријумима за доношење акта о мрежи јавних предшколских установа и акта о мрежи јавних основних школа</w:t>
      </w:r>
    </w:p>
    <w:p w:rsidR="00C609FE" w:rsidRPr="005E40A4" w:rsidRDefault="003222D4">
      <w:pPr>
        <w:spacing w:after="120"/>
        <w:jc w:val="center"/>
        <w:rPr>
          <w:lang w:val="sr-Cyrl-RS"/>
        </w:rPr>
      </w:pPr>
      <w:r w:rsidRPr="005E40A4">
        <w:rPr>
          <w:color w:val="000000"/>
          <w:lang w:val="sr-Cyrl-RS"/>
        </w:rPr>
        <w:t>Члан 1.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t>Овом уредбом утврђују се критеријуми за доношење акта о мрежи јавних предшколских установа и акта о мрежи јавних основних школа, чији је оснивач Република Србија, аутономна покрајина или јединица локалне самоуправе.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t>Предшколске установе и основне школе из става 1. овог члана оснивају се и просторно распоређују на начин који ће осигурати ширу доступност квалитетног предшколског васпитања и образовања и потпуни обухват ученика квалитетним основним образовањем и васпитањем.</w:t>
      </w:r>
    </w:p>
    <w:p w:rsidR="00C609FE" w:rsidRPr="005E40A4" w:rsidRDefault="003222D4">
      <w:pPr>
        <w:spacing w:after="120"/>
        <w:jc w:val="center"/>
        <w:rPr>
          <w:lang w:val="sr-Cyrl-RS"/>
        </w:rPr>
      </w:pPr>
      <w:r w:rsidRPr="005E40A4">
        <w:rPr>
          <w:b/>
          <w:color w:val="000000"/>
          <w:lang w:val="sr-Cyrl-RS"/>
        </w:rPr>
        <w:t>Критеријуми за доношење акта о мрежи предшколских установа</w:t>
      </w:r>
    </w:p>
    <w:p w:rsidR="00C609FE" w:rsidRPr="005E40A4" w:rsidRDefault="003222D4">
      <w:pPr>
        <w:spacing w:after="120"/>
        <w:jc w:val="center"/>
        <w:rPr>
          <w:lang w:val="sr-Cyrl-RS"/>
        </w:rPr>
      </w:pPr>
      <w:r w:rsidRPr="005E40A4">
        <w:rPr>
          <w:color w:val="000000"/>
          <w:lang w:val="sr-Cyrl-RS"/>
        </w:rPr>
        <w:t>Члан 2.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t>Број и просторни распоред предшколских установа из члана 1. ове уредбе, према врсти и структури, планира се актом о мрежи јавних предшколских установа.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t>Акт о мрежи јавних предшколских установа обухвата јавне предшколске установе у свом седишту и ван седишта у издвојеном одељењу – објекту предшколске установе или другом простору, у складу са законом.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t>Акт о мрежи јавних предшколских установа, уважавајући циљеве и принципе предшколског васпитања и образовања и потребу оптималног коришћења расположивих ресурса у установи и локалној заједници, доноси скупштина јединице локалне самоуправе, у складу са географским, демографским, културним, економским, еколошком и другим карактеристикама.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t>Акт о мрежи јавних предшколских установа доноси се на основу следећих критеријума: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t>1) једнако право и доступност свих облика предшколског васпитања и образовања, без дискриминације и сегрегације по било ком основу;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lastRenderedPageBreak/>
        <w:t>2) потпуни обухват деце одговарајућег узраста за похађање обавезног програма припреме детета пред полазак у школу (припремни предшколски програм) који траје најмање девет месеци;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t>3) 70 % деце обухваћено предшколским васпитањем и образовањем, до 2025. године, у складу са Националним миленијумским циљевима развоја у Републици Србији и другим националним документима и потврђеним међународним конвенцијама;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t>4) најмање једна јавна предшколска установа у свакој јединици локалне самоуправе;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t>5) целисходно формирање васпитних група, у складу са законом;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t>6) исказане потребе породица за програмима предшколског васпитања и образовања, у различитом трајању (у целодневном, полудневном и вишедневном трајању) и другим облицима рада и услуга;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t>7) уважавање специфичности локалне традиције, национално мешовитих подручја и подручја насељених националним мањинама, као и њиховог Уставом загарантованог права на предшколско васпитање и образовање на језику националне мањине.</w:t>
      </w:r>
    </w:p>
    <w:p w:rsidR="00C609FE" w:rsidRPr="005E40A4" w:rsidRDefault="003222D4">
      <w:pPr>
        <w:spacing w:after="120"/>
        <w:jc w:val="center"/>
        <w:rPr>
          <w:lang w:val="sr-Cyrl-RS"/>
        </w:rPr>
      </w:pPr>
      <w:r w:rsidRPr="005E40A4">
        <w:rPr>
          <w:b/>
          <w:color w:val="000000"/>
          <w:lang w:val="sr-Cyrl-RS"/>
        </w:rPr>
        <w:t>Критеријуми за доношење акта о мрежи јавних основних школа</w:t>
      </w:r>
    </w:p>
    <w:p w:rsidR="00C609FE" w:rsidRPr="005E40A4" w:rsidRDefault="003222D4">
      <w:pPr>
        <w:spacing w:after="120"/>
        <w:jc w:val="center"/>
        <w:rPr>
          <w:lang w:val="sr-Cyrl-RS"/>
        </w:rPr>
      </w:pPr>
      <w:r w:rsidRPr="005E40A4">
        <w:rPr>
          <w:color w:val="000000"/>
          <w:lang w:val="sr-Cyrl-RS"/>
        </w:rPr>
        <w:t>Члан 3.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t>Број и просторни распоред основних школа из члана 1. ове уредбе, према врсти и структури, уређује се актом о мрежи јавних основних школа.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t>Акт о мрежи јавних основних школа обухвата установе у свом седишту и ван седишта, односно у другом објекту, организовањем издвојеног одељења установе, у складу са законом.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t>Акт о мрежи јавних основних школа, уважавајући принципе једнаког права и доступности, ефикасности и ефективности, доноси скупштина јединице локалне самоуправе, у складу са географским, демографским, културним, економским, еколошком и другим карактеристикама.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t>Акт о мрежи јавних основних школа доноси се на основу следећих критеријума: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t>1) једнако право и доступност и потпун обухват основним образовањем и васпитањем свих ученика без дискриминације и сегрегације по било ком основу;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t>2) доступност програма основног образовања одраслих, у складу са исказаним потребама за образовањем одраслих;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t>3) постизање образовно-васпитних циљева, оптималним коришћењем расположивих ресурса;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t>4) најмање једна јавна основна школа у јединици локалне самоуправе;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lastRenderedPageBreak/>
        <w:t>5) дефинисано подручје школе од стране јединице локалне самоуправе са којег се уписују ученици, у складу са законом;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t>6) јавна основна школа може бити основана као посебна установа, за најмање 480 ученика или 16 одељења;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t>7) јавна основна школа може бити основана и за мање од 480 ученика, ако на удаљености до два километра не постоји друга основна школа (осим у јединицама локалне самоуправе које имају статус града);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t>8) јавна основна школа може бити основана и за мање од 480 ученика, уколико се у њој настава изводи на језику и писму националне мањине, односно двојезично, на језику и писму националне мањине и на српском и ако на удаљености до два километра не постоји друга школа;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t>9) уважавање специфичности локалне традиције, национално мешовитих подручја и подручја насељених националним мањинама, као и њиховог Уставом загарантованог права на образовање и васпитање на језику и писму националне мањине.</w:t>
      </w:r>
    </w:p>
    <w:p w:rsidR="00C609FE" w:rsidRPr="005E40A4" w:rsidRDefault="003222D4" w:rsidP="005E40A4">
      <w:pPr>
        <w:spacing w:after="120"/>
        <w:jc w:val="both"/>
        <w:rPr>
          <w:lang w:val="sr-Cyrl-RS"/>
        </w:rPr>
      </w:pPr>
      <w:r w:rsidRPr="005E40A4">
        <w:rPr>
          <w:color w:val="000000"/>
          <w:lang w:val="sr-Cyrl-RS"/>
        </w:rPr>
        <w:t>Члан 4.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t>Јединица локалне самоуправе дужна је да сачини елаборат, који садржи развојни план мреже израђен на основу тренда природног прираштаја деце и ученика, као и миграционих кретања у јединици локалне самоуправе и то: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t>− за јавне предшколске установе, за период од пет година;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t>− за јавне основне школе за период од четири, односно осам година.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t>Елаборат садржи податке о: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t>1) укупном броју становника, броју и узрасту деце, односно ученика на одређеном подручју које је дефинисано од стране јединице локалне самоуправе, подручје школе;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t>2) специфичностима и величини терена, величини насеља, постојању подстандардних насеља, међусобној удаљености и саобраћајној повезаности насељених места, као и специфичностима брдско-планинских и приграничних подручја;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t>3) нивоу економског развоја јединице локалне самоуправе;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t>4) специфичностима локалне традиције, национално мешовитим подручјима и подручјима насељеним националним мањинама и нивоу развијености установа културе и спорта.</w:t>
      </w:r>
    </w:p>
    <w:p w:rsidR="00C609FE" w:rsidRPr="005E40A4" w:rsidRDefault="003222D4">
      <w:pPr>
        <w:spacing w:after="120"/>
        <w:jc w:val="center"/>
        <w:rPr>
          <w:lang w:val="sr-Cyrl-RS"/>
        </w:rPr>
      </w:pPr>
      <w:r w:rsidRPr="005E40A4">
        <w:rPr>
          <w:color w:val="000000"/>
          <w:lang w:val="sr-Cyrl-RS"/>
        </w:rPr>
        <w:t>Члан 5.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t>Даном ступања на снагу ове уредбе престаје да важи Уредба о критеријумима за доношење акта о мрежи предшколских установа и акта о мрежи основних школа („Службени гласник РС”, број 80/10).</w:t>
      </w:r>
    </w:p>
    <w:p w:rsidR="00C609FE" w:rsidRPr="005E40A4" w:rsidRDefault="003222D4">
      <w:pPr>
        <w:spacing w:after="120"/>
        <w:jc w:val="center"/>
        <w:rPr>
          <w:lang w:val="sr-Cyrl-RS"/>
        </w:rPr>
      </w:pPr>
      <w:r w:rsidRPr="005E40A4">
        <w:rPr>
          <w:color w:val="000000"/>
          <w:lang w:val="sr-Cyrl-RS"/>
        </w:rPr>
        <w:lastRenderedPageBreak/>
        <w:t>Члан 6.</w:t>
      </w:r>
    </w:p>
    <w:p w:rsidR="00C609FE" w:rsidRPr="005E40A4" w:rsidRDefault="003222D4" w:rsidP="005E40A4">
      <w:pPr>
        <w:spacing w:after="150"/>
        <w:jc w:val="both"/>
        <w:rPr>
          <w:lang w:val="sr-Cyrl-RS"/>
        </w:rPr>
      </w:pPr>
      <w:r w:rsidRPr="005E40A4">
        <w:rPr>
          <w:color w:val="000000"/>
          <w:lang w:val="sr-Cyrl-RS"/>
        </w:rPr>
        <w:t>Ова уредба ступа на снагу осмог дана од дана објављивања у „Службеном гласнику Републике Србије”.</w:t>
      </w:r>
    </w:p>
    <w:p w:rsidR="00C609FE" w:rsidRPr="005E40A4" w:rsidRDefault="003222D4">
      <w:pPr>
        <w:spacing w:after="150"/>
        <w:jc w:val="right"/>
        <w:rPr>
          <w:lang w:val="sr-Cyrl-RS"/>
        </w:rPr>
      </w:pPr>
      <w:r w:rsidRPr="005E40A4">
        <w:rPr>
          <w:color w:val="000000"/>
          <w:lang w:val="sr-Cyrl-RS"/>
        </w:rPr>
        <w:t>05 број 110-2071/2018</w:t>
      </w:r>
    </w:p>
    <w:p w:rsidR="00C609FE" w:rsidRPr="005E40A4" w:rsidRDefault="003222D4">
      <w:pPr>
        <w:spacing w:after="150"/>
        <w:jc w:val="right"/>
        <w:rPr>
          <w:lang w:val="sr-Cyrl-RS"/>
        </w:rPr>
      </w:pPr>
      <w:r w:rsidRPr="005E40A4">
        <w:rPr>
          <w:color w:val="000000"/>
          <w:lang w:val="sr-Cyrl-RS"/>
        </w:rPr>
        <w:t>У Београду, 16. марта 2018. године</w:t>
      </w:r>
    </w:p>
    <w:p w:rsidR="00C609FE" w:rsidRPr="005E40A4" w:rsidRDefault="003222D4">
      <w:pPr>
        <w:spacing w:after="150"/>
        <w:jc w:val="right"/>
        <w:rPr>
          <w:lang w:val="sr-Cyrl-RS"/>
        </w:rPr>
      </w:pPr>
      <w:bookmarkStart w:id="0" w:name="_GoBack"/>
      <w:bookmarkEnd w:id="0"/>
      <w:r w:rsidRPr="005E40A4">
        <w:rPr>
          <w:b/>
          <w:color w:val="000000"/>
          <w:lang w:val="sr-Cyrl-RS"/>
        </w:rPr>
        <w:t>Влада</w:t>
      </w:r>
    </w:p>
    <w:p w:rsidR="00C609FE" w:rsidRPr="005E40A4" w:rsidRDefault="003222D4">
      <w:pPr>
        <w:spacing w:after="150"/>
        <w:jc w:val="right"/>
        <w:rPr>
          <w:lang w:val="sr-Cyrl-RS"/>
        </w:rPr>
      </w:pPr>
      <w:r w:rsidRPr="005E40A4">
        <w:rPr>
          <w:color w:val="000000"/>
          <w:lang w:val="sr-Cyrl-RS"/>
        </w:rPr>
        <w:t>Председник,</w:t>
      </w:r>
    </w:p>
    <w:p w:rsidR="00C609FE" w:rsidRPr="005E40A4" w:rsidRDefault="003222D4">
      <w:pPr>
        <w:spacing w:after="150"/>
        <w:jc w:val="right"/>
        <w:rPr>
          <w:lang w:val="sr-Cyrl-RS"/>
        </w:rPr>
      </w:pPr>
      <w:r w:rsidRPr="005E40A4">
        <w:rPr>
          <w:b/>
          <w:color w:val="000000"/>
          <w:lang w:val="sr-Cyrl-RS"/>
        </w:rPr>
        <w:t>Ана Брнабић,</w:t>
      </w:r>
      <w:r w:rsidRPr="005E40A4">
        <w:rPr>
          <w:color w:val="000000"/>
          <w:lang w:val="sr-Cyrl-RS"/>
        </w:rPr>
        <w:t xml:space="preserve"> с.р.</w:t>
      </w:r>
    </w:p>
    <w:sectPr w:rsidR="00C609FE" w:rsidRPr="005E40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FE"/>
    <w:rsid w:val="00140E36"/>
    <w:rsid w:val="003222D4"/>
    <w:rsid w:val="005A0D71"/>
    <w:rsid w:val="005E40A4"/>
    <w:rsid w:val="00924CD3"/>
    <w:rsid w:val="00C6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6A7919-D19F-40D9-AF15-01620F19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Stojanovic</dc:creator>
  <cp:lastModifiedBy>Maja Stojanovic</cp:lastModifiedBy>
  <cp:revision>3</cp:revision>
  <dcterms:created xsi:type="dcterms:W3CDTF">2018-04-12T07:48:00Z</dcterms:created>
  <dcterms:modified xsi:type="dcterms:W3CDTF">2018-04-12T07:49:00Z</dcterms:modified>
</cp:coreProperties>
</file>