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Default="00CD7701" w:rsidP="00CD7701">
      <w:pPr>
        <w:rPr>
          <w:rFonts w:ascii="Arial Nova" w:hAnsi="Arial Nova"/>
          <w:b/>
          <w:color w:val="990000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a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00B61167">
              <w:rPr>
                <w:rFonts w:ascii="Tahoma" w:hAnsi="Tahoma" w:cs="Tahoma"/>
                <w:color w:val="2F5496" w:themeColor="accent1" w:themeShade="BF"/>
              </w:rPr>
              <w:t>2019-07-0703</w:t>
            </w:r>
            <w:r w:rsidRPr="00B61167"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  <w:t xml:space="preserve">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25DE64A8" w14:textId="4CCBDA95" w:rsidR="00E036D4" w:rsidRPr="00B419CD" w:rsidRDefault="00B419CD" w:rsidP="00E036D4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Хотел </w:t>
            </w:r>
            <w:bookmarkStart w:id="0" w:name="_GoBack"/>
            <w:bookmarkEnd w:id="0"/>
            <w:r w:rsidR="00C6177B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Шумарице</w:t>
            </w:r>
          </w:p>
          <w:p w14:paraId="5FC83E8C" w14:textId="67E29025" w:rsidR="00E036D4" w:rsidRPr="00E036D4" w:rsidRDefault="007E115E" w:rsidP="00E036D4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Десанкин венац</w:t>
            </w:r>
            <w:r w:rsidR="00EC026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 бб</w:t>
            </w:r>
            <w:r w:rsidR="00E036D4"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Крагујевац</w:t>
            </w:r>
          </w:p>
          <w:p w14:paraId="31ED6BAF" w14:textId="77777777" w:rsidR="00C462C5" w:rsidRDefault="00C6177B" w:rsidP="00E036D4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21</w:t>
            </w:r>
            <w:r w:rsidR="00E036D4"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-</w:t>
            </w:r>
            <w:r w:rsidR="00C122A2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22</w:t>
            </w:r>
            <w:r w:rsidR="00E036D4"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. мај 2019. године </w:t>
            </w:r>
          </w:p>
          <w:p w14:paraId="7ED5A2C0" w14:textId="0D48839A" w:rsidR="00C122A2" w:rsidRPr="00B61167" w:rsidRDefault="00C122A2" w:rsidP="00E036D4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37031BA6" w:rsidR="00F01BBD" w:rsidRPr="001B7EFB" w:rsidRDefault="00DE2C82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Уторак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C122A2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21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мај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године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744D2AC0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2CB4E8B3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7362A891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1C64A7D1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52DBF2FE" w:rsidR="00975B50" w:rsidRDefault="00975B50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6C5BE7BF" w:rsidR="00724581" w:rsidRPr="001B7EFB" w:rsidRDefault="00DE2C82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lastRenderedPageBreak/>
              <w:t>Среда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C122A2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22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. мај 2019. године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481F839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14:50-15:05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6586D88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15:05-15:20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3AA3634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15:20-15:50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79D904B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15:50-16:30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E858" w14:textId="77777777" w:rsidR="00A13435" w:rsidRDefault="00A13435" w:rsidP="00F01BBD">
      <w:pPr>
        <w:spacing w:line="240" w:lineRule="auto"/>
      </w:pPr>
      <w:r>
        <w:separator/>
      </w:r>
    </w:p>
  </w:endnote>
  <w:endnote w:type="continuationSeparator" w:id="0">
    <w:p w14:paraId="032A5BBA" w14:textId="77777777" w:rsidR="00A13435" w:rsidRDefault="00A13435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35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38EA" w14:textId="77777777" w:rsidR="00A13435" w:rsidRDefault="00A13435" w:rsidP="00F01BBD">
      <w:pPr>
        <w:spacing w:line="240" w:lineRule="auto"/>
      </w:pPr>
      <w:r>
        <w:separator/>
      </w:r>
    </w:p>
  </w:footnote>
  <w:footnote w:type="continuationSeparator" w:id="0">
    <w:p w14:paraId="1FC05268" w14:textId="77777777" w:rsidR="00A13435" w:rsidRDefault="00A13435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A61AE-D593-4AF6-AA3B-324E6FDD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Milena Vojinovic</cp:lastModifiedBy>
  <cp:revision>2</cp:revision>
  <cp:lastPrinted>2019-04-25T07:48:00Z</cp:lastPrinted>
  <dcterms:created xsi:type="dcterms:W3CDTF">2019-05-10T08:43:00Z</dcterms:created>
  <dcterms:modified xsi:type="dcterms:W3CDTF">2019-05-10T08:43:00Z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