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31FE4"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Република Србија</w:t>
      </w:r>
    </w:p>
    <w:p w14:paraId="109B3F0E"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МИНИСТАРСТВО ___________________ </w:t>
      </w:r>
    </w:p>
    <w:p w14:paraId="2ECEABAB" w14:textId="77777777" w:rsidR="00F81D7D" w:rsidRPr="00F81D7D" w:rsidRDefault="00F81D7D" w:rsidP="00F81D7D">
      <w:pPr>
        <w:suppressAutoHyphens w:val="0"/>
        <w:spacing w:line="264" w:lineRule="atLeast"/>
        <w:ind w:firstLine="283"/>
        <w:jc w:val="both"/>
        <w:rPr>
          <w:i/>
          <w:iCs/>
          <w:sz w:val="22"/>
          <w:szCs w:val="22"/>
          <w:lang w:val="bg-BG"/>
        </w:rPr>
      </w:pPr>
      <w:r w:rsidRPr="00F81D7D">
        <w:rPr>
          <w:i/>
          <w:iCs/>
          <w:sz w:val="22"/>
          <w:szCs w:val="22"/>
          <w:lang w:val="bg-BG"/>
        </w:rPr>
        <w:t xml:space="preserve">(назив управе/сектора/органа у саставу) </w:t>
      </w:r>
    </w:p>
    <w:p w14:paraId="499C7FB6"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Број: ________________________________ </w:t>
      </w:r>
    </w:p>
    <w:p w14:paraId="13DC32A0"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Д</w:t>
      </w:r>
      <w:bookmarkStart w:id="0" w:name="_GoBack"/>
      <w:bookmarkEnd w:id="0"/>
      <w:r w:rsidRPr="00F81D7D">
        <w:rPr>
          <w:sz w:val="22"/>
          <w:szCs w:val="22"/>
          <w:lang w:val="bg-BG"/>
        </w:rPr>
        <w:t xml:space="preserve">атум: ___________________. године </w:t>
      </w:r>
    </w:p>
    <w:p w14:paraId="018EDEDF" w14:textId="77777777" w:rsidR="00F81D7D" w:rsidRPr="00F81D7D" w:rsidRDefault="00F81D7D" w:rsidP="00F81D7D">
      <w:pPr>
        <w:suppressAutoHyphens w:val="0"/>
        <w:spacing w:line="264" w:lineRule="atLeast"/>
        <w:ind w:firstLine="283"/>
        <w:jc w:val="both"/>
        <w:rPr>
          <w:i/>
          <w:iCs/>
          <w:sz w:val="22"/>
          <w:szCs w:val="22"/>
          <w:lang w:val="bg-BG"/>
        </w:rPr>
      </w:pPr>
      <w:r w:rsidRPr="00F81D7D">
        <w:rPr>
          <w:sz w:val="22"/>
          <w:szCs w:val="22"/>
          <w:lang w:val="bg-BG"/>
        </w:rPr>
        <w:t xml:space="preserve">___________________________ </w:t>
      </w:r>
      <w:r w:rsidRPr="00F81D7D">
        <w:rPr>
          <w:i/>
          <w:iCs/>
          <w:sz w:val="22"/>
          <w:szCs w:val="22"/>
          <w:lang w:val="bg-BG"/>
        </w:rPr>
        <w:t xml:space="preserve">(место) </w:t>
      </w:r>
    </w:p>
    <w:p w14:paraId="6108D412" w14:textId="77777777" w:rsidR="00F81D7D" w:rsidRPr="00F81D7D" w:rsidRDefault="00F81D7D" w:rsidP="00F81D7D">
      <w:pPr>
        <w:suppressAutoHyphens w:val="0"/>
        <w:spacing w:line="264" w:lineRule="atLeast"/>
        <w:ind w:firstLine="283"/>
        <w:jc w:val="both"/>
        <w:rPr>
          <w:sz w:val="22"/>
          <w:szCs w:val="22"/>
          <w:lang w:val="bg-BG"/>
        </w:rPr>
      </w:pPr>
    </w:p>
    <w:p w14:paraId="2ABCA62F"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На основу члана 149. став 2. и 136. став 1. Закона о општем управном поступку („Службени гласник РС”, број 18/16 и 95/18 – аутентично тумачење) у вези са чланом 52. ст. 2. и 3. и чланом 18. став 4. Закона о инспекцијском надзору („Службени гласник РС”, бр. 36/15, 44/18 – др. закон и 95/18) и чланом 81. став 2. Закона о државној управи („Службени гласник РС”, бр. 79/05, 101/07, 95/10 99/14, 47/18 и 30/18 – др. закон), __________________________________________ </w:t>
      </w:r>
      <w:r w:rsidRPr="00F81D7D">
        <w:rPr>
          <w:i/>
          <w:iCs/>
          <w:sz w:val="22"/>
          <w:szCs w:val="22"/>
          <w:lang w:val="bg-BG"/>
        </w:rPr>
        <w:t>(непосредни руководилац притуженог службеног лица инспекције, односно лице, орган или тело које води притужбени поступак)</w:t>
      </w:r>
      <w:r w:rsidRPr="00F81D7D">
        <w:rPr>
          <w:sz w:val="22"/>
          <w:szCs w:val="22"/>
          <w:lang w:val="bg-BG"/>
        </w:rPr>
        <w:t xml:space="preserve">, доноси </w:t>
      </w:r>
    </w:p>
    <w:p w14:paraId="224030BE" w14:textId="77777777" w:rsidR="00F81D7D" w:rsidRPr="00F81D7D" w:rsidRDefault="00F81D7D" w:rsidP="00F81D7D">
      <w:pPr>
        <w:suppressAutoHyphens w:val="0"/>
        <w:spacing w:line="264" w:lineRule="atLeast"/>
        <w:ind w:firstLine="283"/>
        <w:jc w:val="both"/>
        <w:rPr>
          <w:sz w:val="22"/>
          <w:szCs w:val="22"/>
          <w:lang w:val="bg-BG"/>
        </w:rPr>
      </w:pPr>
    </w:p>
    <w:p w14:paraId="139AB06F" w14:textId="77777777" w:rsidR="00F81D7D" w:rsidRPr="00F81D7D" w:rsidRDefault="00F81D7D" w:rsidP="00F81D7D">
      <w:pPr>
        <w:suppressAutoHyphens w:val="0"/>
        <w:spacing w:line="264" w:lineRule="atLeast"/>
        <w:jc w:val="center"/>
        <w:rPr>
          <w:b/>
          <w:bCs/>
          <w:sz w:val="22"/>
          <w:szCs w:val="22"/>
          <w:lang w:val="bg-BG"/>
        </w:rPr>
      </w:pPr>
      <w:r w:rsidRPr="00F81D7D">
        <w:rPr>
          <w:b/>
          <w:bCs/>
          <w:sz w:val="22"/>
          <w:szCs w:val="22"/>
          <w:lang w:val="bg-BG"/>
        </w:rPr>
        <w:t>Р Е Ш Е Њ Е</w:t>
      </w:r>
    </w:p>
    <w:p w14:paraId="306F49C6" w14:textId="77777777" w:rsidR="00F81D7D" w:rsidRPr="00F81D7D" w:rsidRDefault="00F81D7D" w:rsidP="00F81D7D">
      <w:pPr>
        <w:suppressAutoHyphens w:val="0"/>
        <w:spacing w:line="264" w:lineRule="atLeast"/>
        <w:ind w:firstLine="283"/>
        <w:jc w:val="both"/>
        <w:rPr>
          <w:sz w:val="22"/>
          <w:szCs w:val="22"/>
          <w:lang w:val="bg-BG"/>
        </w:rPr>
      </w:pPr>
    </w:p>
    <w:p w14:paraId="386DF44A"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Одбацује се притужба број: ______________________ од _______________. године, коју је поднео притужилац ________________________________________________________ (</w:t>
      </w:r>
      <w:r w:rsidRPr="00F81D7D">
        <w:rPr>
          <w:i/>
          <w:iCs/>
          <w:sz w:val="22"/>
          <w:szCs w:val="22"/>
          <w:lang w:val="bg-BG"/>
        </w:rPr>
        <w:t>лично име и адреса / пословно име и седиште притужиоца</w:t>
      </w:r>
      <w:r w:rsidRPr="00F81D7D">
        <w:rPr>
          <w:sz w:val="22"/>
          <w:szCs w:val="22"/>
          <w:lang w:val="bg-BG"/>
        </w:rPr>
        <w:t xml:space="preserve">), на рад притуженог инспектора / службеног лица инспекције ___________________________________________ </w:t>
      </w:r>
      <w:r w:rsidRPr="00F81D7D">
        <w:rPr>
          <w:i/>
          <w:iCs/>
          <w:sz w:val="22"/>
          <w:szCs w:val="22"/>
          <w:lang w:val="bg-BG"/>
        </w:rPr>
        <w:t>(име и презиме и службено својство, односно функција притуженог)</w:t>
      </w:r>
      <w:r w:rsidRPr="00F81D7D">
        <w:rPr>
          <w:sz w:val="22"/>
          <w:szCs w:val="22"/>
          <w:lang w:val="bg-BG"/>
        </w:rPr>
        <w:t xml:space="preserve">, запосленог/-е у ________________________________________ на радном месту ______________________________, као недозвољена. </w:t>
      </w:r>
    </w:p>
    <w:p w14:paraId="6D41A009" w14:textId="77777777" w:rsidR="00F81D7D" w:rsidRPr="00F81D7D" w:rsidRDefault="00F81D7D" w:rsidP="00F81D7D">
      <w:pPr>
        <w:suppressAutoHyphens w:val="0"/>
        <w:spacing w:line="264" w:lineRule="atLeast"/>
        <w:ind w:firstLine="283"/>
        <w:jc w:val="both"/>
        <w:rPr>
          <w:sz w:val="22"/>
          <w:szCs w:val="22"/>
          <w:lang w:val="bg-BG"/>
        </w:rPr>
      </w:pPr>
    </w:p>
    <w:p w14:paraId="09A55B5B" w14:textId="77777777" w:rsidR="00F81D7D" w:rsidRPr="00F81D7D" w:rsidRDefault="00F81D7D" w:rsidP="00F81D7D">
      <w:pPr>
        <w:suppressAutoHyphens w:val="0"/>
        <w:spacing w:line="264" w:lineRule="atLeast"/>
        <w:jc w:val="center"/>
        <w:rPr>
          <w:b/>
          <w:bCs/>
          <w:sz w:val="22"/>
          <w:szCs w:val="22"/>
          <w:lang w:val="bg-BG"/>
        </w:rPr>
      </w:pPr>
      <w:r w:rsidRPr="00F81D7D">
        <w:rPr>
          <w:b/>
          <w:bCs/>
          <w:sz w:val="22"/>
          <w:szCs w:val="22"/>
          <w:lang w:val="bg-BG"/>
        </w:rPr>
        <w:t>О б р а з л о ж е њ е</w:t>
      </w:r>
    </w:p>
    <w:p w14:paraId="27AE5CB2" w14:textId="77777777" w:rsidR="00F81D7D" w:rsidRPr="00F81D7D" w:rsidRDefault="00F81D7D" w:rsidP="00F81D7D">
      <w:pPr>
        <w:suppressAutoHyphens w:val="0"/>
        <w:spacing w:line="264" w:lineRule="atLeast"/>
        <w:ind w:firstLine="283"/>
        <w:jc w:val="both"/>
        <w:rPr>
          <w:sz w:val="22"/>
          <w:szCs w:val="22"/>
          <w:lang w:val="bg-BG"/>
        </w:rPr>
      </w:pPr>
    </w:p>
    <w:p w14:paraId="587A9B57" w14:textId="140E5762" w:rsidR="00F81D7D" w:rsidRPr="00F81D7D" w:rsidRDefault="00F81D7D" w:rsidP="008522A0">
      <w:pPr>
        <w:suppressAutoHyphens w:val="0"/>
        <w:spacing w:line="264" w:lineRule="atLeast"/>
        <w:ind w:firstLine="283"/>
        <w:jc w:val="both"/>
        <w:rPr>
          <w:sz w:val="22"/>
          <w:szCs w:val="22"/>
          <w:lang w:val="bg-BG"/>
        </w:rPr>
      </w:pPr>
      <w:r w:rsidRPr="00F81D7D">
        <w:rPr>
          <w:sz w:val="22"/>
          <w:szCs w:val="22"/>
          <w:lang w:val="bg-BG"/>
        </w:rPr>
        <w:t xml:space="preserve">На рад притуженог, притужбу је поднео притужилац, у складу са чланом 52. став 1. Закона о инспекцијском надзору и чланом 81. став 1. Закона о државној управи. У притужби је наведено: ________________________________________________________________________________________________________________________________________________________________________. </w:t>
      </w:r>
    </w:p>
    <w:p w14:paraId="72A64759" w14:textId="77777777" w:rsidR="00F81D7D" w:rsidRPr="00F81D7D" w:rsidRDefault="00F81D7D" w:rsidP="00F81D7D">
      <w:pPr>
        <w:suppressAutoHyphens w:val="0"/>
        <w:spacing w:line="264" w:lineRule="atLeast"/>
        <w:jc w:val="both"/>
        <w:rPr>
          <w:i/>
          <w:iCs/>
          <w:sz w:val="22"/>
          <w:szCs w:val="22"/>
          <w:lang w:val="bg-BG"/>
        </w:rPr>
      </w:pPr>
      <w:r w:rsidRPr="00F81D7D">
        <w:rPr>
          <w:i/>
          <w:iCs/>
          <w:sz w:val="22"/>
          <w:szCs w:val="22"/>
          <w:lang w:val="bg-BG"/>
        </w:rPr>
        <w:t xml:space="preserve">(наводи о подношењу представке, њеној садржини и другим релевантним околностима, а за коју представку је инспектор утврдио да представља злоупотребу права и није поводом ње покренуо поступак инспекцијског надзора, због чега притужилац сматра да је тиме дошло до повреде његових права или слобода, као и други наводи од утицаја) </w:t>
      </w:r>
    </w:p>
    <w:p w14:paraId="700C0D00"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За ове тврдње, притужилац је уз притужбу поднео/предложио следеће доказе: </w:t>
      </w:r>
    </w:p>
    <w:p w14:paraId="195BB9F4" w14:textId="3C6BE76D" w:rsidR="00F81D7D" w:rsidRPr="00F81D7D" w:rsidRDefault="00F81D7D" w:rsidP="00F81D7D">
      <w:pPr>
        <w:suppressAutoHyphens w:val="0"/>
        <w:spacing w:line="264" w:lineRule="atLeast"/>
        <w:jc w:val="both"/>
        <w:rPr>
          <w:sz w:val="22"/>
          <w:szCs w:val="22"/>
          <w:lang w:val="bg-BG"/>
        </w:rPr>
      </w:pPr>
      <w:r w:rsidRPr="00F81D7D">
        <w:rPr>
          <w:sz w:val="22"/>
          <w:szCs w:val="22"/>
          <w:lang w:val="bg-BG"/>
        </w:rPr>
        <w:t>_______________________________________________________________________________________________________________________________________________________________________________________________________________</w:t>
      </w:r>
      <w:r w:rsidR="008522A0">
        <w:rPr>
          <w:sz w:val="22"/>
          <w:szCs w:val="22"/>
          <w:lang w:val="sr-Latn-RS"/>
        </w:rPr>
        <w:t>_____________________________________________</w:t>
      </w:r>
      <w:r w:rsidRPr="00F81D7D">
        <w:rPr>
          <w:sz w:val="22"/>
          <w:szCs w:val="22"/>
          <w:lang w:val="bg-BG"/>
        </w:rPr>
        <w:t xml:space="preserve">. </w:t>
      </w:r>
    </w:p>
    <w:p w14:paraId="6EF99057" w14:textId="0D49A8A9"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У одговору на притужбу, притужени је навео: ____________________________________</w:t>
      </w:r>
      <w:r w:rsidR="008522A0">
        <w:rPr>
          <w:sz w:val="22"/>
          <w:szCs w:val="22"/>
          <w:lang w:val="sr-Latn-RS"/>
        </w:rPr>
        <w:t>______</w:t>
      </w:r>
      <w:r w:rsidRPr="00F81D7D">
        <w:rPr>
          <w:sz w:val="22"/>
          <w:szCs w:val="22"/>
          <w:lang w:val="bg-BG"/>
        </w:rPr>
        <w:t>_</w:t>
      </w:r>
      <w:r w:rsidR="008522A0">
        <w:rPr>
          <w:sz w:val="22"/>
          <w:szCs w:val="22"/>
          <w:lang w:val="sr-Latn-RS"/>
        </w:rPr>
        <w:t xml:space="preserve"> </w:t>
      </w:r>
      <w:r w:rsidRPr="00F81D7D">
        <w:rPr>
          <w:sz w:val="22"/>
          <w:szCs w:val="22"/>
          <w:lang w:val="bg-BG"/>
        </w:rPr>
        <w:t>_________________________________________________________________________________________________________________________________</w:t>
      </w:r>
      <w:r w:rsidR="008522A0">
        <w:rPr>
          <w:sz w:val="22"/>
          <w:szCs w:val="22"/>
          <w:lang w:val="sr-Latn-RS"/>
        </w:rPr>
        <w:t>_______________________________________</w:t>
      </w:r>
      <w:r w:rsidRPr="00F81D7D">
        <w:rPr>
          <w:sz w:val="22"/>
          <w:szCs w:val="22"/>
          <w:lang w:val="bg-BG"/>
        </w:rPr>
        <w:t xml:space="preserve">. </w:t>
      </w:r>
    </w:p>
    <w:p w14:paraId="77235D7A" w14:textId="77777777" w:rsidR="00F81D7D" w:rsidRPr="00F81D7D" w:rsidRDefault="00F81D7D" w:rsidP="00F81D7D">
      <w:pPr>
        <w:suppressAutoHyphens w:val="0"/>
        <w:spacing w:line="264" w:lineRule="atLeast"/>
        <w:jc w:val="both"/>
        <w:rPr>
          <w:sz w:val="22"/>
          <w:szCs w:val="22"/>
          <w:lang w:val="bg-BG"/>
        </w:rPr>
      </w:pPr>
      <w:r w:rsidRPr="00F81D7D">
        <w:rPr>
          <w:sz w:val="22"/>
          <w:szCs w:val="22"/>
          <w:lang w:val="bg-BG"/>
        </w:rPr>
        <w:t>(</w:t>
      </w:r>
      <w:r w:rsidRPr="00F81D7D">
        <w:rPr>
          <w:i/>
          <w:iCs/>
          <w:sz w:val="22"/>
          <w:szCs w:val="22"/>
          <w:lang w:val="bg-BG"/>
        </w:rPr>
        <w:t>изјашњење притуженог инспектора на наводе из притужбе, са изношењем разлога за непокретање поступка инспекцијског надзора поводом поднете представке, због злоупотребе права на представку; опис навода притуженог инспектора о злоупотреби права на представку у конкретном случају – навођење у чему се састоји злоупотреба, као и други наводи притуженог од утицаја</w:t>
      </w:r>
      <w:r w:rsidRPr="00F81D7D">
        <w:rPr>
          <w:sz w:val="22"/>
          <w:szCs w:val="22"/>
          <w:lang w:val="bg-BG"/>
        </w:rPr>
        <w:t>)</w:t>
      </w:r>
    </w:p>
    <w:p w14:paraId="21CF281F" w14:textId="406DA69F" w:rsidR="00F81D7D" w:rsidRPr="00F81D7D" w:rsidRDefault="00F81D7D" w:rsidP="008522A0">
      <w:pPr>
        <w:suppressAutoHyphens w:val="0"/>
        <w:spacing w:line="264" w:lineRule="atLeast"/>
        <w:ind w:firstLine="283"/>
        <w:jc w:val="both"/>
        <w:rPr>
          <w:sz w:val="22"/>
          <w:szCs w:val="22"/>
          <w:lang w:val="bg-BG"/>
        </w:rPr>
      </w:pPr>
      <w:r w:rsidRPr="00F81D7D">
        <w:rPr>
          <w:sz w:val="22"/>
          <w:szCs w:val="22"/>
          <w:lang w:val="bg-BG"/>
        </w:rPr>
        <w:t>За ове тврдње, притужени је поднео/предложио следеће доказе: ______</w:t>
      </w:r>
      <w:r w:rsidR="008522A0">
        <w:rPr>
          <w:sz w:val="22"/>
          <w:szCs w:val="22"/>
          <w:lang w:val="sr-Latn-RS"/>
        </w:rPr>
        <w:t>______________</w:t>
      </w:r>
      <w:r w:rsidRPr="00F81D7D">
        <w:rPr>
          <w:sz w:val="22"/>
          <w:szCs w:val="22"/>
          <w:lang w:val="bg-BG"/>
        </w:rPr>
        <w:t>_______</w:t>
      </w:r>
      <w:r w:rsidR="008522A0">
        <w:rPr>
          <w:sz w:val="22"/>
          <w:szCs w:val="22"/>
          <w:lang w:val="sr-Latn-RS"/>
        </w:rPr>
        <w:t xml:space="preserve"> </w:t>
      </w:r>
      <w:r w:rsidRPr="00F81D7D">
        <w:rPr>
          <w:sz w:val="22"/>
          <w:szCs w:val="22"/>
          <w:lang w:val="bg-BG"/>
        </w:rPr>
        <w:t>________________________________________________________________________________________________________________________________________________________________________</w:t>
      </w:r>
      <w:r w:rsidR="008522A0">
        <w:rPr>
          <w:sz w:val="22"/>
          <w:szCs w:val="22"/>
          <w:lang w:val="sr-Latn-RS"/>
        </w:rPr>
        <w:t>_____________________________________________</w:t>
      </w:r>
      <w:r w:rsidRPr="00F81D7D">
        <w:rPr>
          <w:sz w:val="22"/>
          <w:szCs w:val="22"/>
          <w:lang w:val="bg-BG"/>
        </w:rPr>
        <w:t xml:space="preserve">_______________________________________. </w:t>
      </w:r>
    </w:p>
    <w:p w14:paraId="2342EE74" w14:textId="4863B66E"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Разматрајући притужбу и одлучујући о њој, у складу са чланом 52. ст. 2. и 3. Закона о инспекцијском надзору, чланом 149. Закона о општем управном по­ступку и чланом 81. став 2. Закона о државној управи, _____________________________________________________________ (</w:t>
      </w:r>
      <w:r w:rsidRPr="00F81D7D">
        <w:rPr>
          <w:i/>
          <w:iCs/>
          <w:sz w:val="22"/>
          <w:szCs w:val="22"/>
          <w:lang w:val="bg-BG"/>
        </w:rPr>
        <w:t>непосредни руководилац притуженог службеног лица инспекције, односно лице, орган или тело које води притужбени поступак</w:t>
      </w:r>
      <w:r w:rsidRPr="00F81D7D">
        <w:rPr>
          <w:sz w:val="22"/>
          <w:szCs w:val="22"/>
          <w:lang w:val="bg-BG"/>
        </w:rPr>
        <w:t xml:space="preserve">) размотрио je поднету Представку бр. _____ од ______ и Обавештење </w:t>
      </w:r>
      <w:r w:rsidRPr="00F81D7D">
        <w:rPr>
          <w:sz w:val="22"/>
          <w:szCs w:val="22"/>
          <w:lang w:val="bg-BG"/>
        </w:rPr>
        <w:lastRenderedPageBreak/>
        <w:t>о непокретању поступка инспекцијског надзора због злоупотребе права на представку инспекцији бр. ________ од ________, сагледао изнете наводе и поднете и предложене доказе, остваривши целовит и свестран увид у ову ствар и инспекцијско поступање на које се односи притужба. На основу савесне и брижљиве оцене сваког доказа посебно и свих доказа заједно, као и на основу резултата целокупног поступка, у складу са чланом 10. став 1. Закона о општем управном поступку, а на основу овлашћења слободне оцене из члана 52. Закона о инспекцијском надзору и члана 10. став 2. и члана 149. Закона о општем управном поступку, ____</w:t>
      </w:r>
      <w:r w:rsidR="008522A0">
        <w:rPr>
          <w:sz w:val="22"/>
          <w:szCs w:val="22"/>
          <w:lang w:val="sr-Latn-RS"/>
        </w:rPr>
        <w:t>_________</w:t>
      </w:r>
      <w:r w:rsidRPr="00F81D7D">
        <w:rPr>
          <w:sz w:val="22"/>
          <w:szCs w:val="22"/>
          <w:lang w:val="bg-BG"/>
        </w:rPr>
        <w:t>__________________</w:t>
      </w:r>
      <w:r w:rsidR="008522A0">
        <w:rPr>
          <w:sz w:val="22"/>
          <w:szCs w:val="22"/>
          <w:lang w:val="sr-Latn-RS"/>
        </w:rPr>
        <w:t xml:space="preserve"> </w:t>
      </w:r>
      <w:r w:rsidRPr="00F81D7D">
        <w:rPr>
          <w:sz w:val="22"/>
          <w:szCs w:val="22"/>
          <w:lang w:val="bg-BG"/>
        </w:rPr>
        <w:t>____________________ (</w:t>
      </w:r>
      <w:r w:rsidRPr="00F81D7D">
        <w:rPr>
          <w:i/>
          <w:iCs/>
          <w:sz w:val="22"/>
          <w:szCs w:val="22"/>
          <w:lang w:val="bg-BG"/>
        </w:rPr>
        <w:t>непосредни руководилац притуженог службеног лица инспекције, односно лице, орган или тело које води притужбени поступак</w:t>
      </w:r>
      <w:r w:rsidRPr="00F81D7D">
        <w:rPr>
          <w:sz w:val="22"/>
          <w:szCs w:val="22"/>
          <w:lang w:val="bg-BG"/>
        </w:rPr>
        <w:t xml:space="preserve">) нашао је да притужба није дозвољена. </w:t>
      </w:r>
    </w:p>
    <w:p w14:paraId="179B3C43" w14:textId="6D20730F" w:rsidR="00F81D7D" w:rsidRPr="00F81D7D" w:rsidRDefault="00F81D7D" w:rsidP="008522A0">
      <w:pPr>
        <w:suppressAutoHyphens w:val="0"/>
        <w:spacing w:line="264" w:lineRule="atLeast"/>
        <w:ind w:firstLine="283"/>
        <w:jc w:val="both"/>
        <w:rPr>
          <w:sz w:val="22"/>
          <w:szCs w:val="22"/>
          <w:lang w:val="bg-BG"/>
        </w:rPr>
      </w:pPr>
      <w:r w:rsidRPr="00F81D7D">
        <w:rPr>
          <w:sz w:val="22"/>
          <w:szCs w:val="22"/>
          <w:lang w:val="bg-BG"/>
        </w:rPr>
        <w:t>Наиме, утврђено је следеће: _________________________________________________________</w:t>
      </w:r>
      <w:r w:rsidR="008522A0">
        <w:rPr>
          <w:sz w:val="22"/>
          <w:szCs w:val="22"/>
          <w:lang w:val="sr-Latn-RS"/>
        </w:rPr>
        <w:t xml:space="preserve">_ </w:t>
      </w:r>
      <w:r w:rsidRPr="00F81D7D">
        <w:rPr>
          <w:sz w:val="22"/>
          <w:szCs w:val="22"/>
          <w:lang w:val="bg-BG"/>
        </w:rPr>
        <w:t xml:space="preserve">________________________________________________________________________________________________________________________________________________________________________. </w:t>
      </w:r>
    </w:p>
    <w:p w14:paraId="39639C66" w14:textId="77777777" w:rsidR="00F81D7D" w:rsidRPr="00F81D7D" w:rsidRDefault="00F81D7D" w:rsidP="00F81D7D">
      <w:pPr>
        <w:suppressAutoHyphens w:val="0"/>
        <w:spacing w:line="264" w:lineRule="atLeast"/>
        <w:jc w:val="both"/>
        <w:rPr>
          <w:sz w:val="22"/>
          <w:szCs w:val="22"/>
          <w:lang w:val="bg-BG"/>
        </w:rPr>
      </w:pPr>
      <w:r w:rsidRPr="00F81D7D">
        <w:rPr>
          <w:i/>
          <w:iCs/>
          <w:sz w:val="22"/>
          <w:szCs w:val="22"/>
          <w:lang w:val="bg-BG"/>
        </w:rPr>
        <w:t>(uтврђено чињенично стање са описом утврђене злоупотребе права на представку, опис у чему се састоји ова злоупотребе, радње инспектора о непокретању поступка инспекцијског надзора по поднетој представци којом је злоупотребљено право, уз навођење и оцену доказа на основу којих су чињенице утврђене, при чему се по потреби наводе и разлози који су били одлучући при оцени доказа</w:t>
      </w:r>
      <w:r w:rsidRPr="00F81D7D">
        <w:rPr>
          <w:sz w:val="22"/>
          <w:szCs w:val="22"/>
          <w:lang w:val="bg-BG"/>
        </w:rPr>
        <w:t>)</w:t>
      </w:r>
    </w:p>
    <w:p w14:paraId="3D73C886"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Чланом 18. став 4. Закона о инспекцијском надзору прописано је да инспектор неће покренути поступак по службеној дужности на основу представке ако је посреди злоупотреба права. </w:t>
      </w:r>
    </w:p>
    <w:p w14:paraId="1DE0A3DC"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Злоупотреба субјективног права, а тиме и права на представку, као облика субјективног права, може се огледати у различитим појавним облицима: при вршењу права ималац права се руководи намером да нашкоди, односно наштети другом – нпр. нарушавање угледа другог лица, узнемиравање другог лица и др. (шиканозно вршење права, злонамерно вршење права); ималац права га врши ради остваривања интереса који није у складу са циљем тог права, тј. противно циљу због кога је право законом установљено или признато, односно ради остварења циља који није оправдан (противциљно вршење права); ималац права врши право без оправданог или иоле значајнијег интереса или стварне сврхе (бескорисно вршење права); вршењем права се остварује интерес који је несразмеран, односно мање вредан и значајан од интереса другога, односно с циљем обезбеђења погодности која је значајно нижа и битно несразмерна од терета који представља за други субјект, односно орган, јер изискује несразмерно велике напоре ради удовољавања захтеву (несразмерно вршење права); ималац права врши право на начин који је за другог претерано тегобан, штетан, односно представља превелики терет, укључујући подношење превеликог броја представки и других поднесака, превеликог броја захтева и предлога унутар представки и, последично, ремећење или ометање нормалног функционисања органа (непримерено вршење права); вршење права тако што се понавља исти, односно истоветан или у битном сличан захтев који је већ раније подношен и утврђен као неоснован (очигледно неосновано вршење права); учестало подношење превеликог броја поднесака органима ради стварања слике да одређена организација ради на остварењу циљева због чијег остварења је основана, односно ради чијих остварења се оснивају организације истог типа (вршење права ради стицања публицитета и рекламе); када се право врши на начин противречан другом понашању имаоца права (противречно вршење права); ималац права врши право у супротности са јавним моралом (неморално вршење права) и др. </w:t>
      </w:r>
    </w:p>
    <w:p w14:paraId="4DFAE6F8" w14:textId="30F9E080"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Према оцени _____________________</w:t>
      </w:r>
      <w:r w:rsidR="008522A0">
        <w:rPr>
          <w:sz w:val="22"/>
          <w:szCs w:val="22"/>
          <w:lang w:val="sr-Latn-RS"/>
        </w:rPr>
        <w:t>____</w:t>
      </w:r>
      <w:r w:rsidRPr="00F81D7D">
        <w:rPr>
          <w:sz w:val="22"/>
          <w:szCs w:val="22"/>
          <w:lang w:val="bg-BG"/>
        </w:rPr>
        <w:t>________________________ (</w:t>
      </w:r>
      <w:r w:rsidRPr="00F81D7D">
        <w:rPr>
          <w:i/>
          <w:iCs/>
          <w:sz w:val="22"/>
          <w:szCs w:val="22"/>
          <w:lang w:val="bg-BG"/>
        </w:rPr>
        <w:t>непосредни руководилац притуженог службеног лица инспекције, односно лице, орган или тело које води притужбени поступак</w:t>
      </w:r>
      <w:r w:rsidRPr="00F81D7D">
        <w:rPr>
          <w:sz w:val="22"/>
          <w:szCs w:val="22"/>
          <w:lang w:val="bg-BG"/>
        </w:rPr>
        <w:t>), из оваквог стања ствари произлази да је притужени инспектор основано утврдио да се у конкретном случају ради о злоупотреби права на представку у виду __________________________</w:t>
      </w:r>
      <w:r w:rsidR="008522A0">
        <w:rPr>
          <w:sz w:val="22"/>
          <w:szCs w:val="22"/>
          <w:lang w:val="sr-Latn-RS"/>
        </w:rPr>
        <w:t xml:space="preserve"> </w:t>
      </w:r>
      <w:r w:rsidRPr="00F81D7D">
        <w:rPr>
          <w:sz w:val="22"/>
          <w:szCs w:val="22"/>
          <w:lang w:val="bg-BG"/>
        </w:rPr>
        <w:t>____________________________________________________________________________________</w:t>
      </w:r>
      <w:r w:rsidR="008522A0">
        <w:rPr>
          <w:sz w:val="22"/>
          <w:szCs w:val="22"/>
          <w:lang w:val="sr-Latn-RS"/>
        </w:rPr>
        <w:t>_________________________________</w:t>
      </w:r>
      <w:r w:rsidRPr="00F81D7D">
        <w:rPr>
          <w:sz w:val="22"/>
          <w:szCs w:val="22"/>
          <w:lang w:val="bg-BG"/>
        </w:rPr>
        <w:t>___________________________________________________</w:t>
      </w:r>
      <w:r w:rsidR="008522A0">
        <w:rPr>
          <w:sz w:val="22"/>
          <w:szCs w:val="22"/>
          <w:lang w:val="sr-Latn-RS"/>
        </w:rPr>
        <w:t xml:space="preserve"> </w:t>
      </w:r>
      <w:r w:rsidRPr="00F81D7D">
        <w:rPr>
          <w:sz w:val="22"/>
          <w:szCs w:val="22"/>
          <w:lang w:val="bg-BG"/>
        </w:rPr>
        <w:t>(</w:t>
      </w:r>
      <w:r w:rsidRPr="00F81D7D">
        <w:rPr>
          <w:i/>
          <w:iCs/>
          <w:sz w:val="22"/>
          <w:szCs w:val="22"/>
          <w:lang w:val="bg-BG"/>
        </w:rPr>
        <w:t>опис и садржина конкретног појавног облика злоупотребе права на представку; неретко се у једном случају стиче више појавних облика злоупотребе права на представку, што се све наводи</w:t>
      </w:r>
      <w:r w:rsidRPr="00F81D7D">
        <w:rPr>
          <w:sz w:val="22"/>
          <w:szCs w:val="22"/>
          <w:lang w:val="bg-BG"/>
        </w:rPr>
        <w:t xml:space="preserve">) и законито и правилно одлучио да, поводом ове представке, не покрене поступак инспекцијског надзора по службеној дужности, о чему је, у складу са законом, обавестио подносиоца представке, овде притужиоца. </w:t>
      </w:r>
    </w:p>
    <w:p w14:paraId="2D7B8CD7" w14:textId="5A2C5873" w:rsidR="00F81D7D" w:rsidRPr="00F81D7D" w:rsidRDefault="00F81D7D" w:rsidP="00F81D7D">
      <w:pPr>
        <w:suppressAutoHyphens w:val="0"/>
        <w:jc w:val="both"/>
        <w:rPr>
          <w:sz w:val="22"/>
          <w:szCs w:val="22"/>
          <w:lang w:val="sr-Latn-RS"/>
        </w:rPr>
      </w:pPr>
      <w:r w:rsidRPr="00F81D7D">
        <w:rPr>
          <w:sz w:val="22"/>
          <w:szCs w:val="22"/>
          <w:lang w:val="bg-BG"/>
        </w:rPr>
        <w:t>_______________________________________________________________________________________________________________________________________________________________________________________________________________</w:t>
      </w:r>
      <w:r w:rsidR="008522A0">
        <w:rPr>
          <w:sz w:val="22"/>
          <w:szCs w:val="22"/>
          <w:lang w:val="sr-Latn-RS"/>
        </w:rPr>
        <w:t>_____________________________________________</w:t>
      </w:r>
    </w:p>
    <w:p w14:paraId="77D6D84A" w14:textId="77777777" w:rsidR="00F81D7D" w:rsidRPr="00F81D7D" w:rsidRDefault="00F81D7D" w:rsidP="00F81D7D">
      <w:pPr>
        <w:suppressAutoHyphens w:val="0"/>
        <w:spacing w:line="264" w:lineRule="atLeast"/>
        <w:jc w:val="both"/>
        <w:rPr>
          <w:spacing w:val="-2"/>
          <w:sz w:val="22"/>
          <w:szCs w:val="22"/>
          <w:lang w:val="bg-BG"/>
        </w:rPr>
      </w:pPr>
      <w:r w:rsidRPr="00F81D7D">
        <w:rPr>
          <w:spacing w:val="-2"/>
          <w:sz w:val="22"/>
          <w:szCs w:val="22"/>
          <w:lang w:val="bg-BG"/>
        </w:rPr>
        <w:lastRenderedPageBreak/>
        <w:t>(</w:t>
      </w:r>
      <w:r w:rsidRPr="00F81D7D">
        <w:rPr>
          <w:i/>
          <w:iCs/>
          <w:spacing w:val="-2"/>
          <w:sz w:val="22"/>
          <w:szCs w:val="22"/>
          <w:lang w:val="bg-BG"/>
        </w:rPr>
        <w:t>разлози због којих нису уважени наводи притужбе: навођење разлога који, с обзиром на утврђено чињенично стање, упућују на решење какво је дато у диспозитиву, односно излагање разлога којима се непосредни руководилац притуженог службеног лица, односно лице, орган или тело које је водило притужбени поступак при доношењу решења руководило; образложење садржи јасне ставове у погледу релевантних и разумних тврдњи, односно навода притужбе; додатно образложење законитости и правилности непокретања поступка инспекцијског надзора по представци.</w:t>
      </w:r>
      <w:r w:rsidRPr="00F81D7D">
        <w:rPr>
          <w:spacing w:val="-2"/>
          <w:sz w:val="22"/>
          <w:szCs w:val="22"/>
          <w:lang w:val="bg-BG"/>
        </w:rPr>
        <w:t xml:space="preserve">) </w:t>
      </w:r>
    </w:p>
    <w:p w14:paraId="083473F7"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Основна правна правила су да се право користи у складу са његовом сврхом и циљем и да је забрањена и неприхватљива злоупотреба права, и да из неправа, односно злоупотребе права не може настати или произаћи право. Злоупотреба права се не може правно штитити, па се тако ни злоупотреба права на представку не може штитити путем притужбе. Смисао притужбе је да омогући заштиту права или слобода странака и других лица од незаконите или неправилне радње инспектора, а та права и слободе нису повређени ако потичу из злоупотребе права, што је утврђено законом и Европском конвенцијом за заштиту људских права и основних слобода, која је потврђена законом. Из злоупотребљеног права на представку, што је притужени инспектор законито и правилно утврдио, и следственог непокретања поступка инспекцијског надзора по таквој представци не може проистећи повреда права или слободе притужиоца – подносиоца представке. Имајући ово у виду, притужба на рад инспектора, односно службеног лица инспекције која је изјављена због тога што није покренут поступак инспекцијског надзора поводом представке за коју је инспектор, законитом и правилном, савесном и брижљивом оценом, нашао да се ради о злоупотреби права, није дозвољена. Злоупотреба права на представку чини и притужбу насталу из тог односа – недозвољеном. </w:t>
      </w:r>
    </w:p>
    <w:p w14:paraId="5F517F8E"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Притужба која је изјављена из разлога што није покренут поступак инспекцијског надзора због тога што је посреди злоупотреба права, представља посебан облик приговора због непредузимања управне радње из чл. 28. и 147. Закона о општем управном поступку. Чланом 149. став 2. у вези са ставом 1. Закона о општем управном поступку прописано је, поред осталог, да, одлучујући по приговору, руководилац органа одбацује приговор који није дозвољен. Ово се примењује и на притужбу као облик приговора, па лице, орган или тело које води притужбени поступак притужбу која потиче из злоупотребе права на представку одбацује као недозвољену, у складу са чланом 149. став 2. Закона о општем управном поступку. </w:t>
      </w:r>
    </w:p>
    <w:p w14:paraId="54974699"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На основу свега наведеног, одлучено је као у диспозитиву овог решења. </w:t>
      </w:r>
    </w:p>
    <w:p w14:paraId="4A7C3785" w14:textId="77777777" w:rsidR="00F81D7D" w:rsidRPr="00F81D7D" w:rsidRDefault="00F81D7D" w:rsidP="00F81D7D">
      <w:pPr>
        <w:suppressAutoHyphens w:val="0"/>
        <w:spacing w:line="264" w:lineRule="atLeast"/>
        <w:ind w:right="3827" w:firstLine="283"/>
        <w:jc w:val="both"/>
        <w:rPr>
          <w:b/>
          <w:bCs/>
          <w:sz w:val="22"/>
          <w:szCs w:val="22"/>
          <w:lang w:val="bg-BG"/>
        </w:rPr>
      </w:pPr>
    </w:p>
    <w:p w14:paraId="302C0B5F" w14:textId="77777777" w:rsidR="00F81D7D" w:rsidRPr="00F81D7D" w:rsidRDefault="00F81D7D" w:rsidP="00F81D7D">
      <w:pPr>
        <w:suppressAutoHyphens w:val="0"/>
        <w:spacing w:line="264" w:lineRule="atLeast"/>
        <w:ind w:right="3827" w:firstLine="283"/>
        <w:jc w:val="both"/>
        <w:rPr>
          <w:b/>
          <w:bCs/>
          <w:sz w:val="22"/>
          <w:szCs w:val="22"/>
          <w:lang w:val="bg-BG"/>
        </w:rPr>
      </w:pPr>
      <w:r w:rsidRPr="00F81D7D">
        <w:rPr>
          <w:b/>
          <w:bCs/>
          <w:sz w:val="22"/>
          <w:szCs w:val="22"/>
          <w:lang w:val="bg-BG"/>
        </w:rPr>
        <w:t>Упутство о правном средству:</w:t>
      </w:r>
    </w:p>
    <w:p w14:paraId="24BD041F" w14:textId="77777777" w:rsidR="00F81D7D" w:rsidRPr="00F81D7D" w:rsidRDefault="00F81D7D" w:rsidP="00F81D7D">
      <w:pPr>
        <w:suppressAutoHyphens w:val="0"/>
        <w:spacing w:line="264" w:lineRule="atLeast"/>
        <w:ind w:right="3827" w:firstLine="283"/>
        <w:jc w:val="both"/>
        <w:rPr>
          <w:sz w:val="22"/>
          <w:szCs w:val="22"/>
          <w:lang w:val="bg-BG"/>
        </w:rPr>
      </w:pPr>
      <w:r w:rsidRPr="00F81D7D">
        <w:rPr>
          <w:sz w:val="22"/>
          <w:szCs w:val="22"/>
          <w:lang w:val="bg-BG"/>
        </w:rPr>
        <w:t>Против овог решења притужилац може изјавити жалбу ________________ ______________________ (</w:t>
      </w:r>
      <w:r w:rsidRPr="00F81D7D">
        <w:rPr>
          <w:i/>
          <w:iCs/>
          <w:sz w:val="22"/>
          <w:szCs w:val="22"/>
          <w:lang w:val="bg-BG"/>
        </w:rPr>
        <w:t>другостепени орган</w:t>
      </w:r>
      <w:r w:rsidRPr="00F81D7D">
        <w:rPr>
          <w:sz w:val="22"/>
          <w:szCs w:val="22"/>
          <w:lang w:val="bg-BG"/>
        </w:rPr>
        <w:t xml:space="preserve">) у року од 15 дана од дана достављања овог решења. Жалба се предаје __________________________________ </w:t>
      </w:r>
      <w:r w:rsidRPr="00F81D7D">
        <w:rPr>
          <w:sz w:val="22"/>
          <w:szCs w:val="22"/>
          <w:lang w:val="bg-BG"/>
        </w:rPr>
        <w:br/>
      </w:r>
      <w:r w:rsidRPr="00F81D7D">
        <w:rPr>
          <w:i/>
          <w:iCs/>
          <w:sz w:val="22"/>
          <w:szCs w:val="22"/>
          <w:lang w:val="bg-BG"/>
        </w:rPr>
        <w:t xml:space="preserve">(навођење организационе јединице у којој је распоређен инспектор) </w:t>
      </w:r>
      <w:r w:rsidRPr="00F81D7D">
        <w:rPr>
          <w:sz w:val="22"/>
          <w:szCs w:val="22"/>
          <w:lang w:val="bg-BG"/>
        </w:rPr>
        <w:t xml:space="preserve">у ___ примерка. </w:t>
      </w:r>
    </w:p>
    <w:p w14:paraId="0253CD1E" w14:textId="77777777" w:rsidR="00F81D7D" w:rsidRPr="00F81D7D" w:rsidRDefault="00F81D7D" w:rsidP="00F81D7D">
      <w:pPr>
        <w:suppressAutoHyphens w:val="0"/>
        <w:spacing w:line="264" w:lineRule="atLeast"/>
        <w:ind w:right="3827" w:firstLine="283"/>
        <w:jc w:val="both"/>
        <w:rPr>
          <w:spacing w:val="-2"/>
          <w:sz w:val="22"/>
          <w:szCs w:val="22"/>
          <w:lang w:val="bg-BG"/>
        </w:rPr>
      </w:pPr>
      <w:r w:rsidRPr="00F81D7D">
        <w:rPr>
          <w:spacing w:val="-2"/>
          <w:sz w:val="22"/>
          <w:szCs w:val="22"/>
          <w:lang w:val="bg-BG"/>
        </w:rPr>
        <w:t xml:space="preserve">Притужилац који је незадовољан овим решењем може се овим поводом обратити Координационој комисији, која у вези с тим предузима одговарајуће активности из круга послова које обавља (састављање извештаја и друге активности у складу са законом и Пословником о раду). </w:t>
      </w:r>
    </w:p>
    <w:p w14:paraId="63F09FAF" w14:textId="77777777" w:rsidR="00F81D7D" w:rsidRPr="00F81D7D" w:rsidRDefault="00F81D7D" w:rsidP="00F81D7D">
      <w:pPr>
        <w:suppressAutoHyphens w:val="0"/>
        <w:spacing w:line="264" w:lineRule="atLeast"/>
        <w:ind w:firstLine="283"/>
        <w:jc w:val="both"/>
        <w:rPr>
          <w:sz w:val="22"/>
          <w:szCs w:val="22"/>
          <w:lang w:val="bg-BG"/>
        </w:rPr>
      </w:pPr>
    </w:p>
    <w:p w14:paraId="212AE7BA" w14:textId="77777777" w:rsidR="00F81D7D" w:rsidRPr="00F81D7D" w:rsidRDefault="00F81D7D" w:rsidP="00F81D7D">
      <w:pPr>
        <w:suppressAutoHyphens w:val="0"/>
        <w:spacing w:line="264" w:lineRule="atLeast"/>
        <w:ind w:firstLine="283"/>
        <w:jc w:val="right"/>
        <w:rPr>
          <w:i/>
          <w:iCs/>
          <w:sz w:val="22"/>
          <w:szCs w:val="22"/>
          <w:lang w:val="bg-BG"/>
        </w:rPr>
      </w:pPr>
      <w:r w:rsidRPr="00F81D7D">
        <w:rPr>
          <w:i/>
          <w:iCs/>
          <w:sz w:val="22"/>
          <w:szCs w:val="22"/>
          <w:lang w:val="bg-BG"/>
        </w:rPr>
        <w:t>(непосредни руководилац притуженог службеног лица,</w:t>
      </w:r>
    </w:p>
    <w:p w14:paraId="06088B50" w14:textId="77777777" w:rsidR="00F81D7D" w:rsidRPr="00F81D7D" w:rsidRDefault="00F81D7D" w:rsidP="00F81D7D">
      <w:pPr>
        <w:suppressAutoHyphens w:val="0"/>
        <w:spacing w:line="264" w:lineRule="atLeast"/>
        <w:ind w:firstLine="283"/>
        <w:jc w:val="right"/>
        <w:rPr>
          <w:i/>
          <w:iCs/>
          <w:sz w:val="22"/>
          <w:szCs w:val="22"/>
          <w:lang w:val="bg-BG"/>
        </w:rPr>
      </w:pPr>
      <w:r w:rsidRPr="00F81D7D">
        <w:rPr>
          <w:i/>
          <w:iCs/>
          <w:sz w:val="22"/>
          <w:szCs w:val="22"/>
          <w:lang w:val="bg-BG"/>
        </w:rPr>
        <w:t>односно лице, орган или тело које води притужбени поступак</w:t>
      </w:r>
    </w:p>
    <w:p w14:paraId="10D52D25" w14:textId="77777777" w:rsidR="00F81D7D" w:rsidRPr="00F81D7D" w:rsidRDefault="00F81D7D" w:rsidP="00F81D7D">
      <w:pPr>
        <w:suppressAutoHyphens w:val="0"/>
        <w:spacing w:line="264" w:lineRule="atLeast"/>
        <w:ind w:firstLine="283"/>
        <w:jc w:val="right"/>
        <w:rPr>
          <w:sz w:val="22"/>
          <w:szCs w:val="22"/>
          <w:lang w:val="bg-BG"/>
        </w:rPr>
      </w:pPr>
      <w:r w:rsidRPr="00F81D7D">
        <w:rPr>
          <w:sz w:val="22"/>
          <w:szCs w:val="22"/>
          <w:lang w:val="bg-BG"/>
        </w:rPr>
        <w:t xml:space="preserve">______________________________ </w:t>
      </w:r>
    </w:p>
    <w:p w14:paraId="5D3196F1" w14:textId="77777777" w:rsidR="00F81D7D" w:rsidRPr="00F81D7D" w:rsidRDefault="00F81D7D" w:rsidP="00F81D7D">
      <w:pPr>
        <w:suppressAutoHyphens w:val="0"/>
        <w:spacing w:line="264" w:lineRule="atLeast"/>
        <w:ind w:firstLine="283"/>
        <w:jc w:val="right"/>
        <w:rPr>
          <w:i/>
          <w:iCs/>
          <w:sz w:val="22"/>
          <w:szCs w:val="22"/>
          <w:lang w:val="bg-BG"/>
        </w:rPr>
      </w:pPr>
      <w:r w:rsidRPr="00F81D7D">
        <w:rPr>
          <w:i/>
          <w:iCs/>
          <w:sz w:val="22"/>
          <w:szCs w:val="22"/>
          <w:lang w:val="bg-BG"/>
        </w:rPr>
        <w:t xml:space="preserve">(потпис) </w:t>
      </w:r>
    </w:p>
    <w:p w14:paraId="527885B9" w14:textId="77777777" w:rsidR="00F81D7D" w:rsidRPr="00F81D7D" w:rsidRDefault="00F81D7D" w:rsidP="00F81D7D">
      <w:pPr>
        <w:suppressAutoHyphens w:val="0"/>
        <w:spacing w:line="264" w:lineRule="atLeast"/>
        <w:ind w:firstLine="283"/>
        <w:jc w:val="center"/>
        <w:rPr>
          <w:sz w:val="22"/>
          <w:szCs w:val="22"/>
          <w:lang w:val="bg-BG"/>
        </w:rPr>
      </w:pPr>
      <w:r w:rsidRPr="00F81D7D">
        <w:rPr>
          <w:sz w:val="22"/>
          <w:szCs w:val="22"/>
          <w:lang w:val="bg-BG"/>
        </w:rPr>
        <w:t>(м. п.)</w:t>
      </w:r>
    </w:p>
    <w:p w14:paraId="74AEF2CE" w14:textId="77777777" w:rsidR="00F81D7D" w:rsidRPr="00F81D7D" w:rsidRDefault="00F81D7D" w:rsidP="00F81D7D">
      <w:pPr>
        <w:suppressAutoHyphens w:val="0"/>
        <w:spacing w:line="264" w:lineRule="atLeast"/>
        <w:ind w:firstLine="283"/>
        <w:jc w:val="both"/>
        <w:rPr>
          <w:b/>
          <w:bCs/>
          <w:sz w:val="22"/>
          <w:szCs w:val="22"/>
          <w:lang w:val="bg-BG"/>
        </w:rPr>
      </w:pPr>
    </w:p>
    <w:p w14:paraId="76A5B88D" w14:textId="77777777" w:rsidR="00F81D7D" w:rsidRPr="00F81D7D" w:rsidRDefault="00F81D7D" w:rsidP="00F81D7D">
      <w:pPr>
        <w:suppressAutoHyphens w:val="0"/>
        <w:spacing w:line="264" w:lineRule="atLeast"/>
        <w:ind w:firstLine="283"/>
        <w:jc w:val="both"/>
        <w:rPr>
          <w:sz w:val="22"/>
          <w:szCs w:val="22"/>
          <w:lang w:val="bg-BG"/>
        </w:rPr>
      </w:pPr>
      <w:r w:rsidRPr="00F81D7D">
        <w:rPr>
          <w:sz w:val="22"/>
          <w:szCs w:val="22"/>
          <w:lang w:val="bg-BG"/>
        </w:rPr>
        <w:t xml:space="preserve">Достављено: </w:t>
      </w:r>
    </w:p>
    <w:p w14:paraId="4EA5F2D5" w14:textId="77777777" w:rsidR="00F81D7D" w:rsidRPr="008522A0" w:rsidRDefault="00F81D7D" w:rsidP="008522A0">
      <w:pPr>
        <w:pStyle w:val="ListParagraph"/>
        <w:numPr>
          <w:ilvl w:val="0"/>
          <w:numId w:val="50"/>
        </w:numPr>
        <w:tabs>
          <w:tab w:val="left" w:pos="720"/>
        </w:tabs>
        <w:suppressAutoHyphens w:val="0"/>
        <w:spacing w:line="264" w:lineRule="atLeast"/>
        <w:jc w:val="both"/>
        <w:rPr>
          <w:sz w:val="22"/>
          <w:szCs w:val="22"/>
          <w:lang w:val="bg-BG"/>
        </w:rPr>
      </w:pPr>
      <w:r w:rsidRPr="008522A0">
        <w:rPr>
          <w:sz w:val="22"/>
          <w:szCs w:val="22"/>
          <w:lang w:val="bg-BG"/>
        </w:rPr>
        <w:t xml:space="preserve">притужиоцу </w:t>
      </w:r>
    </w:p>
    <w:p w14:paraId="4F61A7B9" w14:textId="77777777" w:rsidR="00F81D7D" w:rsidRPr="008522A0" w:rsidRDefault="00F81D7D" w:rsidP="008522A0">
      <w:pPr>
        <w:pStyle w:val="ListParagraph"/>
        <w:numPr>
          <w:ilvl w:val="0"/>
          <w:numId w:val="50"/>
        </w:numPr>
        <w:tabs>
          <w:tab w:val="left" w:pos="720"/>
        </w:tabs>
        <w:suppressAutoHyphens w:val="0"/>
        <w:spacing w:line="264" w:lineRule="atLeast"/>
        <w:jc w:val="both"/>
        <w:rPr>
          <w:sz w:val="22"/>
          <w:szCs w:val="22"/>
          <w:lang w:val="bg-BG"/>
        </w:rPr>
      </w:pPr>
      <w:r w:rsidRPr="008522A0">
        <w:rPr>
          <w:sz w:val="22"/>
          <w:szCs w:val="22"/>
          <w:lang w:val="bg-BG"/>
        </w:rPr>
        <w:t xml:space="preserve">притуженом </w:t>
      </w:r>
    </w:p>
    <w:p w14:paraId="706C55F2" w14:textId="77777777" w:rsidR="00F81D7D" w:rsidRPr="008522A0" w:rsidRDefault="00F81D7D" w:rsidP="008522A0">
      <w:pPr>
        <w:pStyle w:val="ListParagraph"/>
        <w:numPr>
          <w:ilvl w:val="0"/>
          <w:numId w:val="50"/>
        </w:numPr>
        <w:tabs>
          <w:tab w:val="left" w:pos="720"/>
        </w:tabs>
        <w:suppressAutoHyphens w:val="0"/>
        <w:spacing w:line="264" w:lineRule="atLeast"/>
        <w:jc w:val="both"/>
        <w:rPr>
          <w:sz w:val="22"/>
          <w:szCs w:val="22"/>
          <w:lang w:val="bg-BG"/>
        </w:rPr>
      </w:pPr>
      <w:r w:rsidRPr="008522A0">
        <w:rPr>
          <w:sz w:val="22"/>
          <w:szCs w:val="22"/>
          <w:lang w:val="bg-BG"/>
        </w:rPr>
        <w:t>у архиву</w:t>
      </w:r>
    </w:p>
    <w:sectPr w:rsidR="00F81D7D" w:rsidRPr="008522A0"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A4BFB" w14:textId="77777777" w:rsidR="005065F7" w:rsidRDefault="005065F7" w:rsidP="002E749E">
      <w:r>
        <w:separator/>
      </w:r>
    </w:p>
  </w:endnote>
  <w:endnote w:type="continuationSeparator" w:id="0">
    <w:p w14:paraId="105A06A7" w14:textId="77777777" w:rsidR="005065F7" w:rsidRDefault="005065F7"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7D300" w14:textId="77777777" w:rsidR="005065F7" w:rsidRDefault="005065F7" w:rsidP="002E749E">
      <w:r>
        <w:separator/>
      </w:r>
    </w:p>
  </w:footnote>
  <w:footnote w:type="continuationSeparator" w:id="0">
    <w:p w14:paraId="5F498FED" w14:textId="77777777" w:rsidR="005065F7" w:rsidRDefault="005065F7"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FAE2B08"/>
    <w:multiLevelType w:val="hybridMultilevel"/>
    <w:tmpl w:val="01C09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2993DF7"/>
    <w:multiLevelType w:val="hybridMultilevel"/>
    <w:tmpl w:val="C95095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6585028"/>
    <w:multiLevelType w:val="hybridMultilevel"/>
    <w:tmpl w:val="304400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1FC73FBD"/>
    <w:multiLevelType w:val="hybridMultilevel"/>
    <w:tmpl w:val="790E99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215B4526"/>
    <w:multiLevelType w:val="hybridMultilevel"/>
    <w:tmpl w:val="A8F671AA"/>
    <w:lvl w:ilvl="0" w:tplc="0409000F">
      <w:start w:val="1"/>
      <w:numFmt w:val="decimal"/>
      <w:lvlText w:val="%1."/>
      <w:lvlJc w:val="left"/>
      <w:pPr>
        <w:ind w:left="1346" w:hanging="360"/>
      </w:pPr>
    </w:lvl>
    <w:lvl w:ilvl="1" w:tplc="04090019" w:tentative="1">
      <w:start w:val="1"/>
      <w:numFmt w:val="lowerLetter"/>
      <w:lvlText w:val="%2."/>
      <w:lvlJc w:val="left"/>
      <w:pPr>
        <w:ind w:left="2066" w:hanging="360"/>
      </w:pPr>
    </w:lvl>
    <w:lvl w:ilvl="2" w:tplc="0409001B" w:tentative="1">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9" w15:restartNumberingAfterBreak="0">
    <w:nsid w:val="23CF7883"/>
    <w:multiLevelType w:val="hybridMultilevel"/>
    <w:tmpl w:val="FA38EE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C82"/>
    <w:multiLevelType w:val="hybridMultilevel"/>
    <w:tmpl w:val="1438F6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2C7951EF"/>
    <w:multiLevelType w:val="hybridMultilevel"/>
    <w:tmpl w:val="19A66A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2CC53544"/>
    <w:multiLevelType w:val="hybridMultilevel"/>
    <w:tmpl w:val="476A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77536"/>
    <w:multiLevelType w:val="hybridMultilevel"/>
    <w:tmpl w:val="14B00D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EA82700"/>
    <w:multiLevelType w:val="hybridMultilevel"/>
    <w:tmpl w:val="A014C4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37964320"/>
    <w:multiLevelType w:val="hybridMultilevel"/>
    <w:tmpl w:val="AAD070E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22" w15:restartNumberingAfterBreak="0">
    <w:nsid w:val="39C7373F"/>
    <w:multiLevelType w:val="hybridMultilevel"/>
    <w:tmpl w:val="CEA2D1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3F4C7E81"/>
    <w:multiLevelType w:val="hybridMultilevel"/>
    <w:tmpl w:val="CB0E4F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28E0878"/>
    <w:multiLevelType w:val="hybridMultilevel"/>
    <w:tmpl w:val="8F1EF9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34F61D7"/>
    <w:multiLevelType w:val="hybridMultilevel"/>
    <w:tmpl w:val="6512B9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447211BF"/>
    <w:multiLevelType w:val="hybridMultilevel"/>
    <w:tmpl w:val="3E6872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15:restartNumberingAfterBreak="0">
    <w:nsid w:val="46DC26E0"/>
    <w:multiLevelType w:val="hybridMultilevel"/>
    <w:tmpl w:val="BF3006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73743A"/>
    <w:multiLevelType w:val="hybridMultilevel"/>
    <w:tmpl w:val="49FCB5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4BEA2058"/>
    <w:multiLevelType w:val="hybridMultilevel"/>
    <w:tmpl w:val="2534A9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4CD962F3"/>
    <w:multiLevelType w:val="hybridMultilevel"/>
    <w:tmpl w:val="A8B487E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57F76777"/>
    <w:multiLevelType w:val="hybridMultilevel"/>
    <w:tmpl w:val="76089F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2273C71"/>
    <w:multiLevelType w:val="hybridMultilevel"/>
    <w:tmpl w:val="E08AC1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631D2253"/>
    <w:multiLevelType w:val="hybridMultilevel"/>
    <w:tmpl w:val="6AACD7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65052CA3"/>
    <w:multiLevelType w:val="hybridMultilevel"/>
    <w:tmpl w:val="4BF0A87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66A1015F"/>
    <w:multiLevelType w:val="hybridMultilevel"/>
    <w:tmpl w:val="917E15B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695C32EB"/>
    <w:multiLevelType w:val="hybridMultilevel"/>
    <w:tmpl w:val="68A02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6BAF63B6"/>
    <w:multiLevelType w:val="hybridMultilevel"/>
    <w:tmpl w:val="30EE74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0EE1D69"/>
    <w:multiLevelType w:val="hybridMultilevel"/>
    <w:tmpl w:val="D79E604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1830EBA"/>
    <w:multiLevelType w:val="hybridMultilevel"/>
    <w:tmpl w:val="6DD615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71870CBF"/>
    <w:multiLevelType w:val="hybridMultilevel"/>
    <w:tmpl w:val="64BE5E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3CC2805"/>
    <w:multiLevelType w:val="hybridMultilevel"/>
    <w:tmpl w:val="230CF8C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15:restartNumberingAfterBreak="0">
    <w:nsid w:val="73DA3596"/>
    <w:multiLevelType w:val="hybridMultilevel"/>
    <w:tmpl w:val="6D5CED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6" w15:restartNumberingAfterBreak="0">
    <w:nsid w:val="76B00244"/>
    <w:multiLevelType w:val="hybridMultilevel"/>
    <w:tmpl w:val="A0CC46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8" w15:restartNumberingAfterBreak="0">
    <w:nsid w:val="7D754C96"/>
    <w:multiLevelType w:val="hybridMultilevel"/>
    <w:tmpl w:val="B2CCAFF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9"/>
  </w:num>
  <w:num w:numId="2">
    <w:abstractNumId w:val="28"/>
  </w:num>
  <w:num w:numId="3">
    <w:abstractNumId w:val="29"/>
  </w:num>
  <w:num w:numId="4">
    <w:abstractNumId w:val="11"/>
  </w:num>
  <w:num w:numId="5">
    <w:abstractNumId w:val="47"/>
  </w:num>
  <w:num w:numId="6">
    <w:abstractNumId w:val="49"/>
  </w:num>
  <w:num w:numId="7">
    <w:abstractNumId w:val="18"/>
  </w:num>
  <w:num w:numId="8">
    <w:abstractNumId w:val="12"/>
  </w:num>
  <w:num w:numId="9">
    <w:abstractNumId w:val="1"/>
  </w:num>
  <w:num w:numId="10">
    <w:abstractNumId w:val="0"/>
  </w:num>
  <w:num w:numId="11">
    <w:abstractNumId w:val="6"/>
  </w:num>
  <w:num w:numId="12">
    <w:abstractNumId w:val="21"/>
  </w:num>
  <w:num w:numId="13">
    <w:abstractNumId w:val="3"/>
  </w:num>
  <w:num w:numId="14">
    <w:abstractNumId w:val="30"/>
  </w:num>
  <w:num w:numId="15">
    <w:abstractNumId w:val="17"/>
  </w:num>
  <w:num w:numId="16">
    <w:abstractNumId w:val="34"/>
  </w:num>
  <w:num w:numId="17">
    <w:abstractNumId w:val="42"/>
  </w:num>
  <w:num w:numId="18">
    <w:abstractNumId w:val="23"/>
  </w:num>
  <w:num w:numId="19">
    <w:abstractNumId w:val="43"/>
  </w:num>
  <w:num w:numId="20">
    <w:abstractNumId w:val="48"/>
  </w:num>
  <w:num w:numId="21">
    <w:abstractNumId w:val="13"/>
  </w:num>
  <w:num w:numId="22">
    <w:abstractNumId w:val="26"/>
  </w:num>
  <w:num w:numId="23">
    <w:abstractNumId w:val="24"/>
  </w:num>
  <w:num w:numId="24">
    <w:abstractNumId w:val="33"/>
  </w:num>
  <w:num w:numId="25">
    <w:abstractNumId w:val="38"/>
  </w:num>
  <w:num w:numId="26">
    <w:abstractNumId w:val="5"/>
  </w:num>
  <w:num w:numId="27">
    <w:abstractNumId w:val="41"/>
  </w:num>
  <w:num w:numId="28">
    <w:abstractNumId w:val="40"/>
  </w:num>
  <w:num w:numId="29">
    <w:abstractNumId w:val="2"/>
  </w:num>
  <w:num w:numId="30">
    <w:abstractNumId w:val="9"/>
  </w:num>
  <w:num w:numId="31">
    <w:abstractNumId w:val="7"/>
  </w:num>
  <w:num w:numId="32">
    <w:abstractNumId w:val="27"/>
  </w:num>
  <w:num w:numId="33">
    <w:abstractNumId w:val="31"/>
  </w:num>
  <w:num w:numId="34">
    <w:abstractNumId w:val="8"/>
  </w:num>
  <w:num w:numId="35">
    <w:abstractNumId w:val="25"/>
  </w:num>
  <w:num w:numId="36">
    <w:abstractNumId w:val="32"/>
  </w:num>
  <w:num w:numId="37">
    <w:abstractNumId w:val="35"/>
  </w:num>
  <w:num w:numId="38">
    <w:abstractNumId w:val="16"/>
  </w:num>
  <w:num w:numId="39">
    <w:abstractNumId w:val="46"/>
  </w:num>
  <w:num w:numId="40">
    <w:abstractNumId w:val="45"/>
  </w:num>
  <w:num w:numId="41">
    <w:abstractNumId w:val="39"/>
  </w:num>
  <w:num w:numId="42">
    <w:abstractNumId w:val="10"/>
  </w:num>
  <w:num w:numId="43">
    <w:abstractNumId w:val="22"/>
  </w:num>
  <w:num w:numId="44">
    <w:abstractNumId w:val="36"/>
  </w:num>
  <w:num w:numId="45">
    <w:abstractNumId w:val="44"/>
  </w:num>
  <w:num w:numId="46">
    <w:abstractNumId w:val="37"/>
  </w:num>
  <w:num w:numId="47">
    <w:abstractNumId w:val="15"/>
  </w:num>
  <w:num w:numId="48">
    <w:abstractNumId w:val="20"/>
  </w:num>
  <w:num w:numId="49">
    <w:abstractNumId w:val="14"/>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64087"/>
    <w:rsid w:val="00174489"/>
    <w:rsid w:val="001E13F3"/>
    <w:rsid w:val="002076C4"/>
    <w:rsid w:val="0023686B"/>
    <w:rsid w:val="0028091F"/>
    <w:rsid w:val="002A5B11"/>
    <w:rsid w:val="002E749E"/>
    <w:rsid w:val="00325276"/>
    <w:rsid w:val="004847E6"/>
    <w:rsid w:val="004C50B4"/>
    <w:rsid w:val="004E653C"/>
    <w:rsid w:val="005065F7"/>
    <w:rsid w:val="00517A05"/>
    <w:rsid w:val="00590C30"/>
    <w:rsid w:val="005940E0"/>
    <w:rsid w:val="00626CB6"/>
    <w:rsid w:val="0065123B"/>
    <w:rsid w:val="007118F9"/>
    <w:rsid w:val="00757E3C"/>
    <w:rsid w:val="007B1631"/>
    <w:rsid w:val="00843AB1"/>
    <w:rsid w:val="008522A0"/>
    <w:rsid w:val="00857FBF"/>
    <w:rsid w:val="0086731E"/>
    <w:rsid w:val="008B2FC6"/>
    <w:rsid w:val="0096155D"/>
    <w:rsid w:val="00993BF2"/>
    <w:rsid w:val="009B012A"/>
    <w:rsid w:val="009C6A2E"/>
    <w:rsid w:val="009F14ED"/>
    <w:rsid w:val="00A00FA8"/>
    <w:rsid w:val="00A014EA"/>
    <w:rsid w:val="00A34F2D"/>
    <w:rsid w:val="00A71265"/>
    <w:rsid w:val="00A80080"/>
    <w:rsid w:val="00B84B8C"/>
    <w:rsid w:val="00BA11D2"/>
    <w:rsid w:val="00C206AC"/>
    <w:rsid w:val="00C46070"/>
    <w:rsid w:val="00C826D0"/>
    <w:rsid w:val="00CC1644"/>
    <w:rsid w:val="00CC7240"/>
    <w:rsid w:val="00CE060C"/>
    <w:rsid w:val="00CF4AC0"/>
    <w:rsid w:val="00D73D47"/>
    <w:rsid w:val="00D80DBC"/>
    <w:rsid w:val="00DC135E"/>
    <w:rsid w:val="00DD1E0E"/>
    <w:rsid w:val="00DF04B8"/>
    <w:rsid w:val="00E05850"/>
    <w:rsid w:val="00E56EC9"/>
    <w:rsid w:val="00E65958"/>
    <w:rsid w:val="00EE460E"/>
    <w:rsid w:val="00EF7FF2"/>
    <w:rsid w:val="00F81D7D"/>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2020-12-23T12:22:00Z</dcterms:created>
  <dcterms:modified xsi:type="dcterms:W3CDTF">2020-12-23T12:25:00Z</dcterms:modified>
</cp:coreProperties>
</file>